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3C15E">
      <w:pPr>
        <w:jc w:val="center"/>
        <w:rPr>
          <w:rFonts w:ascii="Times New Roman" w:hAnsi="Times New Roman" w:eastAsia="宋体" w:cs="Times New Roman"/>
          <w:b/>
          <w:sz w:val="40"/>
          <w:szCs w:val="40"/>
        </w:rPr>
      </w:pPr>
      <w:bookmarkStart w:id="0" w:name="_GoBack"/>
      <w:bookmarkEnd w:id="0"/>
    </w:p>
    <w:p w14:paraId="5DCE2EC7">
      <w:pPr>
        <w:jc w:val="center"/>
        <w:rPr>
          <w:rFonts w:hint="eastAsia" w:ascii="方正小标宋简体" w:hAnsi="方正小标宋简体" w:eastAsia="方正小标宋简体" w:cs="方正小标宋简体"/>
          <w:bCs/>
          <w:sz w:val="40"/>
          <w:szCs w:val="40"/>
        </w:rPr>
      </w:pPr>
      <w:r>
        <w:rPr>
          <w:rFonts w:hint="eastAsia" w:ascii="方正小标宋简体" w:hAnsi="方正小标宋简体" w:eastAsia="方正小标宋简体" w:cs="方正小标宋简体"/>
          <w:bCs/>
          <w:sz w:val="40"/>
          <w:szCs w:val="40"/>
        </w:rPr>
        <w:t>中国中医药临床案例成果库</w:t>
      </w:r>
    </w:p>
    <w:p w14:paraId="49E57D68">
      <w:pPr>
        <w:jc w:val="center"/>
        <w:rPr>
          <w:rFonts w:ascii="Times New Roman" w:hAnsi="Times New Roman" w:eastAsia="宋体" w:cs="Times New Roman"/>
          <w:b/>
          <w:sz w:val="36"/>
          <w:szCs w:val="36"/>
        </w:rPr>
      </w:pPr>
      <w:r>
        <w:rPr>
          <w:rFonts w:hint="eastAsia" w:ascii="方正小标宋简体" w:hAnsi="方正小标宋简体" w:eastAsia="方正小标宋简体" w:cs="方正小标宋简体"/>
          <w:bCs/>
          <w:sz w:val="40"/>
          <w:szCs w:val="40"/>
        </w:rPr>
        <w:t>病例报告写作模板</w:t>
      </w:r>
      <w:r>
        <w:rPr>
          <w:rFonts w:hint="eastAsia" w:ascii="方正小标宋简体" w:hAnsi="方正小标宋简体" w:eastAsia="方正小标宋简体" w:cs="方正小标宋简体"/>
          <w:bCs/>
          <w:color w:val="FF0000"/>
          <w:sz w:val="24"/>
          <w:highlight w:val="yellow"/>
        </w:rPr>
        <w:t>（撰写时删掉）</w:t>
      </w:r>
    </w:p>
    <w:p w14:paraId="0408D4F4">
      <w:pPr>
        <w:jc w:val="center"/>
        <w:rPr>
          <w:rFonts w:ascii="Times New Roman" w:hAnsi="Times New Roman" w:eastAsia="宋体" w:cs="Times New Roman"/>
          <w:b/>
          <w:sz w:val="36"/>
          <w:szCs w:val="36"/>
        </w:rPr>
      </w:pPr>
    </w:p>
    <w:p w14:paraId="61DE43C5">
      <w:pPr>
        <w:widowControl/>
        <w:jc w:val="center"/>
        <w:rPr>
          <w:rFonts w:ascii="Times New Roman" w:hAnsi="Times New Roman" w:eastAsia="宋体" w:cs="Times New Roman"/>
          <w:bCs/>
          <w:kern w:val="0"/>
          <w:sz w:val="40"/>
          <w:szCs w:val="30"/>
        </w:rPr>
      </w:pPr>
      <w:r>
        <w:rPr>
          <w:rFonts w:ascii="Times New Roman" w:hAnsi="Times New Roman" w:eastAsia="宋体" w:cs="Times New Roman"/>
          <w:bCs/>
          <w:kern w:val="0"/>
          <w:sz w:val="40"/>
          <w:szCs w:val="30"/>
        </w:rPr>
        <w:t>中文标题</w:t>
      </w:r>
    </w:p>
    <w:p w14:paraId="26DAC013">
      <w:pPr>
        <w:widowControl/>
        <w:jc w:val="left"/>
        <w:rPr>
          <w:rFonts w:ascii="Times New Roman" w:hAnsi="Times New Roman" w:eastAsia="宋体" w:cs="Times New Roman"/>
          <w:bCs/>
          <w:kern w:val="0"/>
          <w:sz w:val="40"/>
          <w:szCs w:val="30"/>
        </w:rPr>
      </w:pPr>
      <w:r>
        <w:rPr>
          <w:rFonts w:ascii="Times New Roman" w:hAnsi="Times New Roman" w:eastAsia="宋体" w:cs="Times New Roman"/>
          <w:color w:val="0000FF"/>
          <w:sz w:val="40"/>
          <w:szCs w:val="40"/>
        </w:rPr>
        <w:t>示例：肝脾肾同调序贯分期治疗高龄反复体外受精-胚胎移植失败自然妊娠验案</w:t>
      </w:r>
      <w:r>
        <w:rPr>
          <w:rFonts w:ascii="Times New Roman" w:hAnsi="Times New Roman" w:eastAsia="宋体" w:cs="Times New Roman"/>
          <w:bCs/>
          <w:kern w:val="0"/>
          <w:sz w:val="40"/>
          <w:szCs w:val="30"/>
        </w:rPr>
        <w:br w:type="textWrapping"/>
      </w:r>
    </w:p>
    <w:p w14:paraId="310754C5">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014BE86E">
      <w:pPr>
        <w:rPr>
          <w:rFonts w:ascii="Times New Roman" w:hAnsi="Times New Roman" w:eastAsia="宋体" w:cs="Times New Roman"/>
          <w:color w:val="FF0000"/>
        </w:rPr>
      </w:pPr>
      <w:r>
        <w:rPr>
          <w:rFonts w:ascii="Times New Roman" w:hAnsi="Times New Roman" w:eastAsia="宋体" w:cs="Times New Roman"/>
          <w:color w:val="FF0000"/>
        </w:rPr>
        <w:t>1.不体现专家个人姓名，重在体现中医药理论治疗某类疾病。</w:t>
      </w:r>
    </w:p>
    <w:p w14:paraId="582075CA">
      <w:pPr>
        <w:rPr>
          <w:rFonts w:ascii="Times New Roman" w:hAnsi="Times New Roman" w:eastAsia="宋体" w:cs="Times New Roman"/>
          <w:color w:val="FF0000"/>
        </w:rPr>
      </w:pPr>
      <w:r>
        <w:rPr>
          <w:rFonts w:ascii="Times New Roman" w:hAnsi="Times New Roman" w:eastAsia="宋体" w:cs="Times New Roman"/>
          <w:color w:val="FF0000"/>
        </w:rPr>
        <w:t>2.西医疾病名称参照ICD-11，中医疾病名称及证型参照《中医病证分类与代码》（GBT 15657-2021）。</w:t>
      </w:r>
    </w:p>
    <w:p w14:paraId="70539834">
      <w:pPr>
        <w:rPr>
          <w:rFonts w:ascii="Times New Roman" w:hAnsi="Times New Roman" w:eastAsia="宋体" w:cs="Times New Roman"/>
          <w:color w:val="FF0000"/>
        </w:rPr>
      </w:pPr>
      <w:r>
        <w:rPr>
          <w:rFonts w:ascii="Times New Roman" w:hAnsi="Times New Roman" w:eastAsia="宋体" w:cs="Times New Roman"/>
          <w:color w:val="FF0000"/>
        </w:rPr>
        <w:t>3.标题力求简明扼要，突出文章主题，一般在20个汉字以内为宜。</w:t>
      </w:r>
    </w:p>
    <w:p w14:paraId="5202F5AE">
      <w:pPr>
        <w:rPr>
          <w:rFonts w:ascii="Times New Roman" w:hAnsi="Times New Roman" w:eastAsia="宋体" w:cs="Times New Roman"/>
          <w:color w:val="0000FF"/>
        </w:rPr>
      </w:pPr>
    </w:p>
    <w:p w14:paraId="5697F88A">
      <w:pPr>
        <w:widowControl/>
        <w:jc w:val="center"/>
        <w:rPr>
          <w:rFonts w:ascii="Times New Roman" w:hAnsi="Times New Roman" w:eastAsia="宋体" w:cs="Times New Roman"/>
          <w:sz w:val="24"/>
          <w:vertAlign w:val="superscript"/>
        </w:rPr>
      </w:pPr>
      <w:r>
        <w:rPr>
          <w:rFonts w:ascii="Times New Roman" w:hAnsi="Times New Roman" w:eastAsia="宋体" w:cs="Times New Roman"/>
          <w:sz w:val="24"/>
        </w:rPr>
        <w:t>主诊人</w:t>
      </w:r>
      <w:r>
        <w:rPr>
          <w:rFonts w:ascii="Times New Roman" w:hAnsi="Times New Roman" w:eastAsia="宋体" w:cs="Times New Roman"/>
          <w:sz w:val="24"/>
          <w:vertAlign w:val="superscript"/>
        </w:rPr>
        <w:t>*</w:t>
      </w:r>
      <w:r>
        <w:rPr>
          <w:rFonts w:ascii="Times New Roman" w:hAnsi="Times New Roman" w:eastAsia="宋体" w:cs="Times New Roman"/>
          <w:sz w:val="24"/>
        </w:rPr>
        <w:t>，整理人1</w:t>
      </w:r>
      <w:r>
        <w:rPr>
          <w:rFonts w:ascii="Times New Roman" w:hAnsi="Times New Roman" w:eastAsia="宋体" w:cs="Times New Roman"/>
          <w:sz w:val="24"/>
          <w:vertAlign w:val="superscript"/>
        </w:rPr>
        <w:t>1</w:t>
      </w:r>
      <w:r>
        <w:rPr>
          <w:rFonts w:ascii="Times New Roman" w:hAnsi="Times New Roman" w:eastAsia="宋体" w:cs="Times New Roman"/>
          <w:sz w:val="24"/>
        </w:rPr>
        <w:t>，整理人2</w:t>
      </w:r>
      <w:r>
        <w:rPr>
          <w:rFonts w:ascii="Times New Roman" w:hAnsi="Times New Roman" w:eastAsia="宋体" w:cs="Times New Roman"/>
          <w:sz w:val="24"/>
          <w:vertAlign w:val="superscript"/>
        </w:rPr>
        <w:t>2</w:t>
      </w:r>
    </w:p>
    <w:p w14:paraId="1F26A84B">
      <w:pPr>
        <w:widowControl/>
        <w:jc w:val="center"/>
        <w:rPr>
          <w:rFonts w:ascii="Times New Roman" w:hAnsi="Times New Roman" w:eastAsia="宋体" w:cs="Times New Roman"/>
          <w:sz w:val="24"/>
        </w:rPr>
      </w:pPr>
      <w:r>
        <w:rPr>
          <w:rFonts w:ascii="Times New Roman" w:hAnsi="Times New Roman" w:eastAsia="宋体" w:cs="Times New Roman"/>
          <w:color w:val="0000FF"/>
          <w:sz w:val="24"/>
        </w:rPr>
        <w:t>示例：魏绍斌</w:t>
      </w:r>
      <w:r>
        <w:rPr>
          <w:rFonts w:ascii="Times New Roman" w:hAnsi="Times New Roman" w:eastAsia="宋体" w:cs="Times New Roman"/>
          <w:color w:val="0000FF"/>
          <w:sz w:val="24"/>
          <w:vertAlign w:val="superscript"/>
        </w:rPr>
        <w:t>*</w:t>
      </w:r>
      <w:r>
        <w:rPr>
          <w:rFonts w:ascii="Times New Roman" w:hAnsi="Times New Roman" w:eastAsia="宋体" w:cs="Times New Roman"/>
          <w:color w:val="0000FF"/>
          <w:sz w:val="24"/>
        </w:rPr>
        <w:t>，钟函芝，李彦欣</w:t>
      </w:r>
    </w:p>
    <w:p w14:paraId="2912F6C7">
      <w:pPr>
        <w:widowControl/>
        <w:jc w:val="center"/>
        <w:rPr>
          <w:rFonts w:ascii="Times New Roman" w:hAnsi="Times New Roman" w:eastAsia="宋体" w:cs="Times New Roman"/>
          <w:sz w:val="24"/>
        </w:rPr>
      </w:pPr>
    </w:p>
    <w:p w14:paraId="5791E63D">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133AA9F9">
      <w:pPr>
        <w:rPr>
          <w:rFonts w:ascii="Times New Roman" w:hAnsi="Times New Roman" w:eastAsia="宋体" w:cs="Times New Roman"/>
          <w:color w:val="FF0000"/>
        </w:rPr>
      </w:pPr>
      <w:r>
        <w:rPr>
          <w:rFonts w:ascii="Times New Roman" w:hAnsi="Times New Roman" w:eastAsia="宋体" w:cs="Times New Roman"/>
          <w:color w:val="FF0000"/>
        </w:rPr>
        <w:t>1.整理人为对本案例有主要贡献的作者，原则上不超过3人；</w:t>
      </w:r>
    </w:p>
    <w:p w14:paraId="4C9779F1">
      <w:pPr>
        <w:rPr>
          <w:rFonts w:ascii="Times New Roman" w:hAnsi="Times New Roman" w:eastAsia="宋体" w:cs="Times New Roman"/>
          <w:color w:val="FF0000"/>
        </w:rPr>
      </w:pPr>
      <w:r>
        <w:rPr>
          <w:rFonts w:ascii="Times New Roman" w:hAnsi="Times New Roman" w:eastAsia="宋体" w:cs="Times New Roman"/>
          <w:color w:val="FF0000"/>
        </w:rPr>
        <w:t>2.主诊人为本案例的主诊医师，</w:t>
      </w:r>
      <w:r>
        <w:rPr>
          <w:rFonts w:hint="eastAsia" w:ascii="Times New Roman" w:hAnsi="Times New Roman" w:eastAsia="宋体" w:cs="Times New Roman"/>
          <w:color w:val="FF0000"/>
          <w:highlight w:val="yellow"/>
        </w:rPr>
        <w:t>只能</w:t>
      </w:r>
      <w:r>
        <w:rPr>
          <w:rFonts w:ascii="Times New Roman" w:hAnsi="Times New Roman" w:eastAsia="宋体" w:cs="Times New Roman"/>
          <w:color w:val="FF0000"/>
          <w:highlight w:val="yellow"/>
        </w:rPr>
        <w:t>1人</w:t>
      </w:r>
      <w:r>
        <w:rPr>
          <w:rFonts w:ascii="Times New Roman" w:hAnsi="Times New Roman" w:eastAsia="宋体" w:cs="Times New Roman"/>
          <w:color w:val="FF0000"/>
        </w:rPr>
        <w:t>，加*标注；</w:t>
      </w:r>
    </w:p>
    <w:p w14:paraId="6A2DED23">
      <w:pPr>
        <w:rPr>
          <w:rFonts w:ascii="Times New Roman" w:hAnsi="Times New Roman" w:eastAsia="宋体" w:cs="Times New Roman"/>
          <w:color w:val="FF0000"/>
        </w:rPr>
      </w:pPr>
      <w:r>
        <w:rPr>
          <w:rFonts w:ascii="Times New Roman" w:hAnsi="Times New Roman" w:eastAsia="宋体" w:cs="Times New Roman"/>
          <w:color w:val="FF0000"/>
        </w:rPr>
        <w:t>3.如主诊人放在作者第1位，整理人排在第2~3位，其余作者按对案例的贡献程度依次排列。（主诊人定义：作为患者诊疗全过程的‌第一责任人‌，负责诊断、治疗方案制定、手术操作及随访等关键医疗决策）；</w:t>
      </w:r>
    </w:p>
    <w:p w14:paraId="7EEF48B4">
      <w:pPr>
        <w:rPr>
          <w:rFonts w:ascii="Times New Roman" w:hAnsi="Times New Roman" w:eastAsia="宋体" w:cs="Times New Roman"/>
          <w:color w:val="FF0000"/>
        </w:rPr>
      </w:pPr>
      <w:r>
        <w:rPr>
          <w:rFonts w:ascii="Times New Roman" w:hAnsi="Times New Roman" w:eastAsia="宋体" w:cs="Times New Roman"/>
          <w:color w:val="FF0000"/>
        </w:rPr>
        <w:t>4.作者姓名顺序投稿后不能修改，姓前名后；</w:t>
      </w:r>
    </w:p>
    <w:p w14:paraId="3CC51E4C">
      <w:pPr>
        <w:rPr>
          <w:rFonts w:ascii="Times New Roman" w:hAnsi="Times New Roman" w:eastAsia="宋体" w:cs="Times New Roman"/>
          <w:color w:val="FF0000"/>
        </w:rPr>
      </w:pPr>
      <w:r>
        <w:rPr>
          <w:rFonts w:ascii="Times New Roman" w:hAnsi="Times New Roman" w:eastAsia="宋体" w:cs="Times New Roman"/>
          <w:color w:val="FF0000"/>
        </w:rPr>
        <w:t>5.排名第一位整理人对案例学术规范负责。</w:t>
      </w:r>
    </w:p>
    <w:p w14:paraId="71281BA7">
      <w:pPr>
        <w:rPr>
          <w:rFonts w:ascii="Times New Roman" w:hAnsi="Times New Roman" w:eastAsia="宋体" w:cs="Times New Roman"/>
          <w:color w:val="FF0000"/>
        </w:rPr>
      </w:pPr>
    </w:p>
    <w:p w14:paraId="2AB9D1E7">
      <w:pPr>
        <w:widowControl/>
        <w:jc w:val="center"/>
        <w:rPr>
          <w:rFonts w:ascii="Times New Roman" w:hAnsi="Times New Roman" w:eastAsia="宋体" w:cs="Times New Roman"/>
          <w:sz w:val="24"/>
        </w:rPr>
      </w:pPr>
      <w:r>
        <w:rPr>
          <w:rFonts w:ascii="Times New Roman" w:hAnsi="Times New Roman" w:eastAsia="宋体" w:cs="Times New Roman"/>
          <w:sz w:val="24"/>
        </w:rPr>
        <w:t>单位全称</w:t>
      </w:r>
    </w:p>
    <w:p w14:paraId="35B644B0">
      <w:pPr>
        <w:widowControl/>
        <w:jc w:val="center"/>
        <w:rPr>
          <w:rFonts w:ascii="Times New Roman" w:hAnsi="Times New Roman" w:eastAsia="宋体" w:cs="Times New Roman"/>
          <w:color w:val="0000FF"/>
          <w:sz w:val="24"/>
        </w:rPr>
      </w:pPr>
      <w:r>
        <w:rPr>
          <w:rFonts w:ascii="Times New Roman" w:hAnsi="Times New Roman" w:eastAsia="宋体" w:cs="Times New Roman"/>
          <w:color w:val="0000FF"/>
          <w:sz w:val="24"/>
        </w:rPr>
        <w:t>示例：</w:t>
      </w:r>
      <w:r>
        <w:rPr>
          <w:rFonts w:hint="eastAsia" w:ascii="Times New Roman" w:hAnsi="Times New Roman" w:eastAsia="宋体" w:cs="Times New Roman"/>
          <w:color w:val="0000FF"/>
          <w:sz w:val="24"/>
        </w:rPr>
        <w:t>（</w:t>
      </w:r>
      <w:r>
        <w:rPr>
          <w:rFonts w:ascii="Times New Roman" w:hAnsi="Times New Roman" w:eastAsia="宋体" w:cs="Times New Roman"/>
          <w:color w:val="0000FF"/>
          <w:sz w:val="24"/>
        </w:rPr>
        <w:t>成都中医药大学附属医院妇科，成都610072；2.成都中医药大学临床医学院，成都610075</w:t>
      </w:r>
      <w:r>
        <w:rPr>
          <w:rFonts w:hint="eastAsia" w:ascii="Times New Roman" w:hAnsi="Times New Roman" w:eastAsia="宋体" w:cs="Times New Roman"/>
          <w:color w:val="0000FF"/>
          <w:sz w:val="24"/>
        </w:rPr>
        <w:t>）</w:t>
      </w:r>
    </w:p>
    <w:p w14:paraId="2C75EF80">
      <w:pPr>
        <w:widowControl/>
        <w:jc w:val="center"/>
        <w:rPr>
          <w:rFonts w:ascii="Times New Roman" w:hAnsi="Times New Roman" w:eastAsia="宋体" w:cs="Times New Roman"/>
          <w:color w:val="000000" w:themeColor="text1"/>
          <w:sz w:val="24"/>
          <w14:textFill>
            <w14:solidFill>
              <w14:schemeClr w14:val="tx1"/>
            </w14:solidFill>
          </w14:textFill>
        </w:rPr>
      </w:pPr>
    </w:p>
    <w:p w14:paraId="4371D9FE">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01C4AC9C">
      <w:pPr>
        <w:rPr>
          <w:rFonts w:ascii="Times New Roman" w:hAnsi="Times New Roman" w:eastAsia="宋体" w:cs="Times New Roman"/>
          <w:color w:val="FF0000"/>
        </w:rPr>
      </w:pPr>
      <w:r>
        <w:rPr>
          <w:rFonts w:ascii="Times New Roman" w:hAnsi="Times New Roman" w:eastAsia="宋体" w:cs="Times New Roman"/>
          <w:color w:val="FF0000"/>
        </w:rPr>
        <w:t>1.单位顺序投稿后不能修改；</w:t>
      </w:r>
    </w:p>
    <w:p w14:paraId="711E8D26">
      <w:pPr>
        <w:rPr>
          <w:rFonts w:ascii="Times New Roman" w:hAnsi="Times New Roman" w:eastAsia="宋体" w:cs="Times New Roman"/>
          <w:color w:val="FF0000"/>
        </w:rPr>
      </w:pPr>
      <w:r>
        <w:rPr>
          <w:rFonts w:ascii="Times New Roman" w:hAnsi="Times New Roman" w:eastAsia="宋体" w:cs="Times New Roman"/>
          <w:color w:val="FF0000"/>
        </w:rPr>
        <w:t>2.单位具体到二级部门，给出准确的官方名称、省市、邮编，缺一不可。</w:t>
      </w:r>
    </w:p>
    <w:p w14:paraId="3C19D8A7">
      <w:pPr>
        <w:rPr>
          <w:rFonts w:ascii="Times New Roman" w:hAnsi="Times New Roman" w:eastAsia="宋体" w:cs="Times New Roman"/>
          <w:color w:val="FF0000"/>
        </w:rPr>
      </w:pPr>
    </w:p>
    <w:p w14:paraId="46995429">
      <w:pPr>
        <w:rPr>
          <w:rFonts w:ascii="Times New Roman" w:hAnsi="Times New Roman" w:eastAsia="宋体" w:cs="Times New Roman"/>
          <w:b/>
          <w:sz w:val="24"/>
        </w:rPr>
      </w:pPr>
      <w:r>
        <w:rPr>
          <w:rFonts w:ascii="Times New Roman" w:hAnsi="Times New Roman" w:eastAsia="宋体" w:cs="Times New Roman"/>
          <w:b/>
          <w:sz w:val="24"/>
        </w:rPr>
        <w:t>主诊人：姓名，职称，从事</w:t>
      </w:r>
      <w:r>
        <w:rPr>
          <w:rFonts w:ascii="Times New Roman" w:hAnsi="Times New Roman" w:eastAsia="宋体" w:cs="Times New Roman"/>
          <w:kern w:val="0"/>
          <w:sz w:val="24"/>
        </w:rPr>
        <w:t>××</w:t>
      </w:r>
      <w:r>
        <w:rPr>
          <w:rFonts w:ascii="Times New Roman" w:hAnsi="Times New Roman" w:eastAsia="宋体" w:cs="Times New Roman"/>
          <w:b/>
          <w:sz w:val="24"/>
        </w:rPr>
        <w:t>研究</w:t>
      </w:r>
      <w:r>
        <w:rPr>
          <w:rFonts w:ascii="Times New Roman" w:hAnsi="Times New Roman" w:eastAsia="宋体" w:cs="Times New Roman"/>
          <w:kern w:val="0"/>
          <w:sz w:val="24"/>
        </w:rPr>
        <w:t>××</w:t>
      </w:r>
      <w:r>
        <w:rPr>
          <w:rFonts w:ascii="Times New Roman" w:hAnsi="Times New Roman" w:eastAsia="宋体" w:cs="Times New Roman"/>
          <w:b/>
          <w:sz w:val="24"/>
        </w:rPr>
        <w:t>年，E-mail</w:t>
      </w:r>
    </w:p>
    <w:p w14:paraId="033E8C67">
      <w:pPr>
        <w:rPr>
          <w:rFonts w:ascii="Times New Roman" w:hAnsi="Times New Roman" w:eastAsia="宋体" w:cs="Times New Roman"/>
          <w:b/>
          <w:sz w:val="24"/>
        </w:rPr>
      </w:pPr>
      <w:r>
        <w:rPr>
          <w:rFonts w:ascii="Times New Roman" w:hAnsi="Times New Roman" w:eastAsia="宋体" w:cs="Times New Roman"/>
          <w:b/>
          <w:sz w:val="24"/>
        </w:rPr>
        <w:t>整理人1：姓名，职称，从事</w:t>
      </w:r>
      <w:r>
        <w:rPr>
          <w:rFonts w:ascii="Times New Roman" w:hAnsi="Times New Roman" w:eastAsia="宋体" w:cs="Times New Roman"/>
          <w:kern w:val="0"/>
          <w:sz w:val="24"/>
        </w:rPr>
        <w:t>××</w:t>
      </w:r>
      <w:r>
        <w:rPr>
          <w:rFonts w:ascii="Times New Roman" w:hAnsi="Times New Roman" w:eastAsia="宋体" w:cs="Times New Roman"/>
          <w:b/>
          <w:sz w:val="24"/>
        </w:rPr>
        <w:t>研究</w:t>
      </w:r>
      <w:r>
        <w:rPr>
          <w:rFonts w:ascii="Times New Roman" w:hAnsi="Times New Roman" w:eastAsia="宋体" w:cs="Times New Roman"/>
          <w:kern w:val="0"/>
          <w:sz w:val="24"/>
        </w:rPr>
        <w:t>××</w:t>
      </w:r>
      <w:r>
        <w:rPr>
          <w:rFonts w:ascii="Times New Roman" w:hAnsi="Times New Roman" w:eastAsia="宋体" w:cs="Times New Roman"/>
          <w:b/>
          <w:sz w:val="24"/>
        </w:rPr>
        <w:t>年，E-mail</w:t>
      </w:r>
    </w:p>
    <w:p w14:paraId="119D074A">
      <w:pPr>
        <w:rPr>
          <w:rFonts w:ascii="Times New Roman" w:hAnsi="Times New Roman" w:eastAsia="宋体" w:cs="Times New Roman"/>
          <w:b/>
          <w:sz w:val="24"/>
        </w:rPr>
      </w:pPr>
      <w:r>
        <w:rPr>
          <w:rFonts w:ascii="Times New Roman" w:hAnsi="Times New Roman" w:eastAsia="宋体" w:cs="Times New Roman"/>
          <w:b/>
          <w:sz w:val="24"/>
        </w:rPr>
        <w:t>整理人2：姓名，职称，从事</w:t>
      </w:r>
      <w:r>
        <w:rPr>
          <w:rFonts w:ascii="Times New Roman" w:hAnsi="Times New Roman" w:eastAsia="宋体" w:cs="Times New Roman"/>
          <w:kern w:val="0"/>
          <w:sz w:val="24"/>
        </w:rPr>
        <w:t>××</w:t>
      </w:r>
      <w:r>
        <w:rPr>
          <w:rFonts w:ascii="Times New Roman" w:hAnsi="Times New Roman" w:eastAsia="宋体" w:cs="Times New Roman"/>
          <w:b/>
          <w:sz w:val="24"/>
        </w:rPr>
        <w:t>研究</w:t>
      </w:r>
      <w:r>
        <w:rPr>
          <w:rFonts w:ascii="Times New Roman" w:hAnsi="Times New Roman" w:eastAsia="宋体" w:cs="Times New Roman"/>
          <w:kern w:val="0"/>
          <w:sz w:val="24"/>
        </w:rPr>
        <w:t>××</w:t>
      </w:r>
      <w:r>
        <w:rPr>
          <w:rFonts w:ascii="Times New Roman" w:hAnsi="Times New Roman" w:eastAsia="宋体" w:cs="Times New Roman"/>
          <w:b/>
          <w:sz w:val="24"/>
        </w:rPr>
        <w:t>年，E-mail</w:t>
      </w:r>
    </w:p>
    <w:p w14:paraId="502D5A61">
      <w:pPr>
        <w:rPr>
          <w:rFonts w:ascii="Times New Roman" w:hAnsi="Times New Roman" w:eastAsia="宋体" w:cs="Times New Roman"/>
          <w:color w:val="FF0000"/>
        </w:rPr>
      </w:pPr>
      <w:r>
        <w:rPr>
          <w:rFonts w:ascii="Times New Roman" w:hAnsi="Times New Roman" w:eastAsia="宋体" w:cs="Times New Roman"/>
          <w:b/>
          <w:sz w:val="24"/>
        </w:rPr>
        <w:t>主诊人简介：</w:t>
      </w:r>
    </w:p>
    <w:p w14:paraId="76F12A6E">
      <w:pPr>
        <w:rPr>
          <w:rFonts w:ascii="Times New Roman" w:hAnsi="Times New Roman" w:eastAsia="宋体" w:cs="Times New Roman"/>
          <w:color w:val="FF0000"/>
        </w:rPr>
      </w:pPr>
    </w:p>
    <w:p w14:paraId="1CF5AD15">
      <w:pPr>
        <w:rPr>
          <w:rFonts w:ascii="Times New Roman" w:hAnsi="Times New Roman" w:eastAsia="宋体" w:cs="Times New Roman"/>
          <w:color w:val="0000FF"/>
          <w:sz w:val="24"/>
        </w:rPr>
      </w:pPr>
      <w:r>
        <w:rPr>
          <w:rFonts w:ascii="Times New Roman" w:hAnsi="Times New Roman" w:eastAsia="宋体" w:cs="Times New Roman"/>
          <w:color w:val="0000FF"/>
          <w:sz w:val="24"/>
        </w:rPr>
        <w:t>示例：</w:t>
      </w:r>
    </w:p>
    <w:p w14:paraId="17FDC07E">
      <w:pPr>
        <w:rPr>
          <w:rFonts w:ascii="Times New Roman" w:hAnsi="Times New Roman" w:eastAsia="宋体" w:cs="Times New Roman"/>
          <w:color w:val="0000FF"/>
          <w:sz w:val="24"/>
        </w:rPr>
      </w:pPr>
      <w:r>
        <w:rPr>
          <w:rFonts w:ascii="Times New Roman" w:hAnsi="Times New Roman" w:eastAsia="宋体" w:cs="Times New Roman"/>
          <w:color w:val="0000FF"/>
          <w:sz w:val="24"/>
        </w:rPr>
        <w:t>主诊人：魏绍斌，主任医师，从事中医药防治妇科炎症、痛症性疾病、卵巢功能减退类疾病、不孕症的临床与研究40余年，Email：</w:t>
      </w:r>
      <w:r>
        <w:fldChar w:fldCharType="begin"/>
      </w:r>
      <w:r>
        <w:instrText xml:space="preserve"> HYPERLINK "mailto:wsb2012gcp@163.com" </w:instrText>
      </w:r>
      <w:r>
        <w:fldChar w:fldCharType="separate"/>
      </w:r>
      <w:r>
        <w:rPr>
          <w:rFonts w:ascii="Times New Roman" w:hAnsi="Times New Roman" w:eastAsia="宋体" w:cs="Times New Roman"/>
          <w:color w:val="0000FF"/>
          <w:sz w:val="24"/>
        </w:rPr>
        <w:t>wsb2012gcp@163.com</w:t>
      </w:r>
      <w:r>
        <w:rPr>
          <w:rFonts w:ascii="Times New Roman" w:hAnsi="Times New Roman" w:eastAsia="宋体" w:cs="Times New Roman"/>
          <w:color w:val="0000FF"/>
          <w:sz w:val="24"/>
        </w:rPr>
        <w:fldChar w:fldCharType="end"/>
      </w:r>
    </w:p>
    <w:p w14:paraId="7CCE6EA5">
      <w:pPr>
        <w:rPr>
          <w:rFonts w:ascii="Times New Roman" w:hAnsi="Times New Roman" w:eastAsia="宋体" w:cs="Times New Roman"/>
          <w:color w:val="0000FF"/>
          <w:sz w:val="24"/>
        </w:rPr>
      </w:pPr>
      <w:r>
        <w:rPr>
          <w:rFonts w:ascii="Times New Roman" w:hAnsi="Times New Roman" w:eastAsia="宋体" w:cs="Times New Roman"/>
          <w:color w:val="0000FF"/>
          <w:sz w:val="24"/>
        </w:rPr>
        <w:t>整理人1：钟函芝，博士研究生，从事中医药防治妇科炎症、痛症性疾病、卵巢功能减退类疾病、不孕症的研究5年，Email：</w:t>
      </w:r>
      <w:r>
        <w:fldChar w:fldCharType="begin"/>
      </w:r>
      <w:r>
        <w:instrText xml:space="preserve"> HYPERLINK "mailto:743764504@qq.com。" </w:instrText>
      </w:r>
      <w:r>
        <w:fldChar w:fldCharType="separate"/>
      </w:r>
      <w:r>
        <w:rPr>
          <w:rFonts w:ascii="Times New Roman" w:hAnsi="Times New Roman" w:eastAsia="宋体" w:cs="Times New Roman"/>
          <w:color w:val="0000FF"/>
          <w:sz w:val="24"/>
        </w:rPr>
        <w:t>743764504@qq.com。</w:t>
      </w:r>
      <w:r>
        <w:rPr>
          <w:rFonts w:ascii="Times New Roman" w:hAnsi="Times New Roman" w:eastAsia="宋体" w:cs="Times New Roman"/>
          <w:color w:val="0000FF"/>
          <w:sz w:val="24"/>
        </w:rPr>
        <w:fldChar w:fldCharType="end"/>
      </w:r>
    </w:p>
    <w:p w14:paraId="1677BE15">
      <w:pPr>
        <w:rPr>
          <w:rFonts w:ascii="Times New Roman" w:hAnsi="Times New Roman" w:eastAsia="宋体" w:cs="Times New Roman"/>
          <w:color w:val="0000FF"/>
          <w:sz w:val="24"/>
        </w:rPr>
      </w:pPr>
      <w:r>
        <w:rPr>
          <w:rFonts w:ascii="Times New Roman" w:hAnsi="Times New Roman" w:eastAsia="宋体" w:cs="Times New Roman"/>
          <w:color w:val="0000FF"/>
          <w:sz w:val="24"/>
        </w:rPr>
        <w:t>整理人2：李彦欣，硕士研究生，从事中医药防治妇科炎症、痛症性疾病、卵巢功能减退类疾病、不孕症的研究2年，Email：liyanxin_chengdu@qq.com</w:t>
      </w:r>
    </w:p>
    <w:p w14:paraId="0AC3F523">
      <w:pPr>
        <w:rPr>
          <w:rFonts w:ascii="Times New Roman" w:hAnsi="Times New Roman" w:eastAsia="宋体" w:cs="Times New Roman"/>
          <w:color w:val="0000FF"/>
          <w:sz w:val="24"/>
        </w:rPr>
      </w:pPr>
      <w:r>
        <w:rPr>
          <w:rFonts w:ascii="Times New Roman" w:hAnsi="Times New Roman" w:eastAsia="宋体" w:cs="Times New Roman"/>
          <w:color w:val="0000FF"/>
          <w:sz w:val="24"/>
        </w:rPr>
        <w:t>主诊人简介：魏绍斌，主任医师、二级教授、博士生导师、博士后合作导师。享受国务院政府津贴专家，第四届四川省十大名中医，四川省学术技术带头人，全国第六、七批老中医药专家学术经验继承工作指导老师，全国名老中医药专家传承工作室指导老师。</w:t>
      </w:r>
    </w:p>
    <w:p w14:paraId="1A9FFA76">
      <w:pPr>
        <w:rPr>
          <w:rFonts w:ascii="Times New Roman" w:hAnsi="Times New Roman" w:eastAsia="宋体" w:cs="Times New Roman"/>
          <w:color w:val="FF0000"/>
        </w:rPr>
      </w:pPr>
    </w:p>
    <w:p w14:paraId="065843EF">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0332CABF">
      <w:pPr>
        <w:rPr>
          <w:rFonts w:ascii="Times New Roman" w:hAnsi="Times New Roman" w:eastAsia="宋体" w:cs="Times New Roman"/>
          <w:color w:val="FF0000"/>
        </w:rPr>
      </w:pPr>
      <w:r>
        <w:rPr>
          <w:rFonts w:ascii="Times New Roman" w:hAnsi="Times New Roman" w:eastAsia="宋体" w:cs="Times New Roman"/>
          <w:color w:val="FF0000"/>
        </w:rPr>
        <w:t>1.主诊人简介，100字左右，包括主诊人流派等内容。</w:t>
      </w:r>
    </w:p>
    <w:p w14:paraId="4E98A73A">
      <w:pPr>
        <w:rPr>
          <w:rFonts w:ascii="Times New Roman" w:hAnsi="Times New Roman" w:eastAsia="宋体" w:cs="Times New Roman"/>
          <w:color w:val="FF0000"/>
        </w:rPr>
      </w:pPr>
    </w:p>
    <w:p w14:paraId="51542B7F">
      <w:pPr>
        <w:rPr>
          <w:rFonts w:ascii="Times New Roman" w:hAnsi="Times New Roman" w:eastAsia="宋体" w:cs="Times New Roman"/>
          <w:b/>
          <w:sz w:val="24"/>
        </w:rPr>
      </w:pPr>
      <w:r>
        <w:rPr>
          <w:rFonts w:ascii="Times New Roman" w:hAnsi="Times New Roman" w:eastAsia="宋体" w:cs="Times New Roman"/>
          <w:b/>
          <w:sz w:val="24"/>
        </w:rPr>
        <w:t>摘要</w:t>
      </w:r>
    </w:p>
    <w:p w14:paraId="2515864C">
      <w:pPr>
        <w:rPr>
          <w:rFonts w:ascii="Times New Roman" w:hAnsi="Times New Roman" w:eastAsia="宋体" w:cs="Times New Roman"/>
          <w:bCs/>
          <w:sz w:val="24"/>
        </w:rPr>
      </w:pPr>
      <w:r>
        <w:rPr>
          <w:rFonts w:ascii="Times New Roman" w:hAnsi="Times New Roman" w:eastAsia="宋体" w:cs="Times New Roman"/>
          <w:bCs/>
          <w:sz w:val="24"/>
        </w:rPr>
        <w:t>包括病史摘要、中西医诊断、干预措施、疗效转归等。</w:t>
      </w:r>
    </w:p>
    <w:p w14:paraId="45CDDF4F">
      <w:pPr>
        <w:rPr>
          <w:rFonts w:ascii="Times New Roman" w:hAnsi="Times New Roman" w:eastAsia="宋体" w:cs="Times New Roman"/>
          <w:color w:val="0000FF"/>
          <w:sz w:val="24"/>
        </w:rPr>
      </w:pPr>
      <w:r>
        <w:rPr>
          <w:rFonts w:ascii="Times New Roman" w:hAnsi="Times New Roman" w:eastAsia="宋体" w:cs="Times New Roman"/>
          <w:color w:val="0000FF"/>
          <w:sz w:val="24"/>
        </w:rPr>
        <w:t>示例：</w:t>
      </w:r>
      <w:r>
        <w:rPr>
          <w:rFonts w:ascii="Times New Roman" w:hAnsi="Times New Roman" w:eastAsia="宋体" w:cs="Times New Roman"/>
          <w:color w:val="0000FF"/>
          <w:sz w:val="24"/>
        </w:rPr>
        <w:br w:type="textWrapping"/>
      </w:r>
      <w:r>
        <w:rPr>
          <w:rFonts w:ascii="Times New Roman" w:hAnsi="Times New Roman" w:eastAsia="宋体" w:cs="Times New Roman"/>
          <w:color w:val="0000FF"/>
          <w:sz w:val="24"/>
        </w:rPr>
        <w:t>【摘要】</w:t>
      </w:r>
    </w:p>
    <w:p w14:paraId="05FCC167">
      <w:pPr>
        <w:rPr>
          <w:rFonts w:ascii="Times New Roman" w:hAnsi="Times New Roman" w:eastAsia="宋体" w:cs="Times New Roman"/>
          <w:color w:val="0000FF"/>
          <w:sz w:val="24"/>
        </w:rPr>
      </w:pPr>
      <w:r>
        <w:rPr>
          <w:rFonts w:ascii="Times New Roman" w:hAnsi="Times New Roman" w:eastAsia="宋体" w:cs="Times New Roman"/>
          <w:color w:val="0000FF"/>
          <w:sz w:val="24"/>
        </w:rPr>
        <w:t>【病史摘要】  患者，女，40岁，因“未避孕未孕4+年，IVF-ET失败3次”于2024年02月03日初次就诊。患者因未避孕未孕3+年，遂于2023年3月至四川某医院寻求辅助生殖技术助孕，完善相关检查发现“高胰岛素血症”，行体外受精-胚胎移植（in vitro fertilization and embryo transfer，IVF-ET）2次均未着床（2023年6月、9月），2023年10月于四川大学华西第二医院行宫腔镜检查，病检提示“子宫内膜炎”，2023年11月再次行IVF-ET，于2023年12月孕7+周发现胚胎停育行清宫术。患者既往2018年因孕8+周胚胎停育行清宫术，曾于2019年体检时发现子宫肌瘤（大小约1 cm），2020年行输卵管造影提示双侧输卵管通畅，夫妻性生活正常。患者生育愿望迫切，高龄多年备孕无果，遂至魏绍斌教授门诊就诊，欲中医药调理后再次行IVF-ET。就诊时情绪焦虑，生育压力大，纳可，眠差，二便调，舌偏红，苔白微腻，脉弦滑。</w:t>
      </w:r>
    </w:p>
    <w:p w14:paraId="4C944EE1">
      <w:pPr>
        <w:rPr>
          <w:rFonts w:ascii="Times New Roman" w:hAnsi="Times New Roman" w:eastAsia="宋体" w:cs="Times New Roman"/>
          <w:color w:val="0000FF"/>
          <w:sz w:val="24"/>
        </w:rPr>
      </w:pPr>
      <w:r>
        <w:rPr>
          <w:rFonts w:ascii="Times New Roman" w:hAnsi="Times New Roman" w:eastAsia="宋体" w:cs="Times New Roman"/>
          <w:color w:val="0000FF"/>
          <w:sz w:val="24"/>
        </w:rPr>
        <w:t>【中医诊断】  不孕症；癥瘕（脾肾不足，肝郁血瘀证）</w:t>
      </w:r>
    </w:p>
    <w:p w14:paraId="70A2EBFF">
      <w:pPr>
        <w:rPr>
          <w:rFonts w:ascii="Times New Roman" w:hAnsi="Times New Roman" w:eastAsia="宋体" w:cs="Times New Roman"/>
          <w:color w:val="0000FF"/>
          <w:sz w:val="24"/>
        </w:rPr>
      </w:pPr>
      <w:r>
        <w:rPr>
          <w:rFonts w:ascii="Times New Roman" w:hAnsi="Times New Roman" w:eastAsia="宋体" w:cs="Times New Roman"/>
          <w:color w:val="0000FF"/>
          <w:sz w:val="24"/>
        </w:rPr>
        <w:t>【西医诊断】  1.继发性不孕；2.高胰岛素血症；3.子宫肌瘤</w:t>
      </w:r>
    </w:p>
    <w:p w14:paraId="354482CF">
      <w:pPr>
        <w:rPr>
          <w:rFonts w:ascii="Times New Roman" w:hAnsi="Times New Roman" w:eastAsia="宋体" w:cs="Times New Roman"/>
          <w:color w:val="0000FF"/>
          <w:sz w:val="24"/>
        </w:rPr>
      </w:pPr>
      <w:r>
        <w:rPr>
          <w:rFonts w:ascii="Times New Roman" w:hAnsi="Times New Roman" w:eastAsia="宋体" w:cs="Times New Roman"/>
          <w:color w:val="0000FF"/>
          <w:sz w:val="24"/>
        </w:rPr>
        <w:t>【干预措施】  中药汤剂、中成药口服，耳针、穴位贴敷</w:t>
      </w:r>
    </w:p>
    <w:p w14:paraId="205B0BB4">
      <w:pPr>
        <w:rPr>
          <w:rFonts w:ascii="Times New Roman" w:hAnsi="Times New Roman" w:eastAsia="宋体" w:cs="Times New Roman"/>
          <w:color w:val="0000FF"/>
          <w:sz w:val="24"/>
        </w:rPr>
      </w:pPr>
      <w:r>
        <w:rPr>
          <w:rFonts w:ascii="Times New Roman" w:hAnsi="Times New Roman" w:eastAsia="宋体" w:cs="Times New Roman"/>
          <w:color w:val="0000FF"/>
          <w:sz w:val="24"/>
        </w:rPr>
        <w:t>【疗效转归】  经魏绍斌教授单用中医药调治4月即自然妊娠，孕后经中西医结合住院保胎治疗1月余，出院时彩超提示宫内探及7.3 cm×3.6 cm×3.3 cm的孕囊回声，内见胎儿头臀径约4.0 cm，胎盘位于前壁，胎心搏动可见，为11+周孕。现患者于当地医院产科建卡定期产检，为孕13周，各项指标正常。</w:t>
      </w:r>
    </w:p>
    <w:p w14:paraId="5FDCBD53">
      <w:pPr>
        <w:rPr>
          <w:rFonts w:ascii="Times New Roman" w:hAnsi="Times New Roman" w:eastAsia="宋体" w:cs="Times New Roman"/>
          <w:color w:val="0000FF"/>
          <w:sz w:val="24"/>
        </w:rPr>
      </w:pPr>
    </w:p>
    <w:p w14:paraId="3257F730">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73B2C4B3">
      <w:pPr>
        <w:rPr>
          <w:rFonts w:ascii="Times New Roman" w:hAnsi="Times New Roman" w:eastAsia="宋体" w:cs="Times New Roman"/>
          <w:color w:val="FF0000"/>
        </w:rPr>
      </w:pPr>
      <w:r>
        <w:rPr>
          <w:rFonts w:ascii="Times New Roman" w:hAnsi="Times New Roman" w:eastAsia="宋体" w:cs="Times New Roman"/>
          <w:color w:val="FF0000"/>
        </w:rPr>
        <w:t>摘要以500字左右为宜，如涉及英文的第一次在摘要中应使用中文。</w:t>
      </w:r>
    </w:p>
    <w:p w14:paraId="2C31062F">
      <w:pPr>
        <w:rPr>
          <w:rFonts w:ascii="Times New Roman" w:hAnsi="Times New Roman" w:eastAsia="宋体" w:cs="Times New Roman"/>
          <w:color w:val="FF0000"/>
        </w:rPr>
      </w:pPr>
      <w:r>
        <w:rPr>
          <w:rFonts w:ascii="Times New Roman" w:hAnsi="Times New Roman" w:eastAsia="宋体" w:cs="Times New Roman"/>
          <w:color w:val="FF0000"/>
        </w:rPr>
        <w:t>1.病史摘要，包括主诉、关键病史、刻下症、主要体征及重要辅助检查结果等；</w:t>
      </w:r>
    </w:p>
    <w:p w14:paraId="6FC6F5FD">
      <w:pPr>
        <w:rPr>
          <w:rFonts w:ascii="Times New Roman" w:hAnsi="Times New Roman" w:eastAsia="宋体" w:cs="Times New Roman"/>
          <w:color w:val="FF0000"/>
        </w:rPr>
      </w:pPr>
      <w:r>
        <w:rPr>
          <w:rFonts w:ascii="Times New Roman" w:hAnsi="Times New Roman" w:eastAsia="宋体" w:cs="Times New Roman"/>
          <w:color w:val="FF0000"/>
        </w:rPr>
        <w:t>2.中医诊断，包括病名及证候诊断；</w:t>
      </w:r>
    </w:p>
    <w:p w14:paraId="3ED7DE9A">
      <w:pPr>
        <w:rPr>
          <w:rFonts w:ascii="Times New Roman" w:hAnsi="Times New Roman" w:eastAsia="宋体" w:cs="Times New Roman"/>
          <w:color w:val="FF0000"/>
        </w:rPr>
      </w:pPr>
      <w:r>
        <w:rPr>
          <w:rFonts w:ascii="Times New Roman" w:hAnsi="Times New Roman" w:eastAsia="宋体" w:cs="Times New Roman"/>
          <w:color w:val="FF0000"/>
        </w:rPr>
        <w:t>3.西医诊断，只写主要疾病诊断，多个疾病请按序排列；</w:t>
      </w:r>
    </w:p>
    <w:p w14:paraId="7A837ECD">
      <w:pPr>
        <w:rPr>
          <w:rFonts w:ascii="Times New Roman" w:hAnsi="Times New Roman" w:eastAsia="宋体" w:cs="Times New Roman"/>
          <w:color w:val="FF0000"/>
        </w:rPr>
      </w:pPr>
      <w:r>
        <w:rPr>
          <w:rFonts w:ascii="Times New Roman" w:hAnsi="Times New Roman" w:eastAsia="宋体" w:cs="Times New Roman"/>
          <w:color w:val="FF0000"/>
        </w:rPr>
        <w:t>4.干预措施包括中药、非药物疗法、其他治疗（中成药/验方/民族医药/预防调养方法/西医治疗/或者联合手段）的治疗要点；</w:t>
      </w:r>
    </w:p>
    <w:p w14:paraId="21A47BE8">
      <w:pPr>
        <w:rPr>
          <w:rFonts w:ascii="Times New Roman" w:hAnsi="Times New Roman" w:eastAsia="宋体" w:cs="Times New Roman"/>
          <w:color w:val="FF0000"/>
        </w:rPr>
      </w:pPr>
      <w:r>
        <w:rPr>
          <w:rFonts w:ascii="Times New Roman" w:hAnsi="Times New Roman" w:eastAsia="宋体" w:cs="Times New Roman"/>
          <w:color w:val="FF0000"/>
        </w:rPr>
        <w:t>5.疗效转归。</w:t>
      </w:r>
    </w:p>
    <w:p w14:paraId="3E322974">
      <w:pPr>
        <w:rPr>
          <w:rFonts w:ascii="Times New Roman" w:hAnsi="Times New Roman" w:eastAsia="宋体" w:cs="Times New Roman"/>
          <w:color w:val="FF0000"/>
        </w:rPr>
      </w:pPr>
    </w:p>
    <w:p w14:paraId="2E292520">
      <w:pPr>
        <w:ind w:firstLine="420" w:firstLineChars="200"/>
        <w:rPr>
          <w:rFonts w:ascii="Times New Roman" w:hAnsi="Times New Roman" w:eastAsia="宋体" w:cs="Times New Roman"/>
          <w:color w:val="FF0000"/>
        </w:rPr>
      </w:pPr>
    </w:p>
    <w:p w14:paraId="7B8207ED">
      <w:pPr>
        <w:widowControl/>
        <w:jc w:val="left"/>
        <w:rPr>
          <w:rFonts w:ascii="Times New Roman" w:hAnsi="Times New Roman" w:eastAsia="宋体" w:cs="Times New Roman"/>
          <w:kern w:val="0"/>
          <w:sz w:val="24"/>
        </w:rPr>
      </w:pPr>
      <w:r>
        <w:rPr>
          <w:rFonts w:ascii="Times New Roman" w:hAnsi="Times New Roman" w:eastAsia="宋体" w:cs="Times New Roman"/>
          <w:bCs/>
          <w:sz w:val="24"/>
        </w:rPr>
        <w:t>【</w:t>
      </w:r>
      <w:r>
        <w:rPr>
          <w:rFonts w:ascii="Times New Roman" w:hAnsi="Times New Roman" w:eastAsia="宋体" w:cs="Times New Roman"/>
          <w:b/>
          <w:sz w:val="24"/>
        </w:rPr>
        <w:t>关键词</w:t>
      </w:r>
      <w:r>
        <w:rPr>
          <w:rFonts w:ascii="Times New Roman" w:hAnsi="Times New Roman" w:eastAsia="宋体" w:cs="Times New Roman"/>
          <w:bCs/>
          <w:sz w:val="24"/>
        </w:rPr>
        <w:t>】</w:t>
      </w:r>
      <w:r>
        <w:rPr>
          <w:rFonts w:ascii="Times New Roman" w:hAnsi="Times New Roman" w:eastAsia="宋体" w:cs="Times New Roman"/>
          <w:b/>
          <w:sz w:val="24"/>
        </w:rPr>
        <w:t xml:space="preserve"> </w:t>
      </w:r>
      <w:r>
        <w:rPr>
          <w:rFonts w:ascii="Times New Roman" w:hAnsi="Times New Roman" w:eastAsia="宋体" w:cs="Times New Roman"/>
          <w:kern w:val="0"/>
          <w:sz w:val="24"/>
        </w:rPr>
        <w:t>关键词1；关键词2；关键词3；关键词4</w:t>
      </w:r>
    </w:p>
    <w:p w14:paraId="4676FDFE">
      <w:pPr>
        <w:widowControl/>
        <w:jc w:val="left"/>
        <w:rPr>
          <w:rFonts w:ascii="Times New Roman" w:hAnsi="Times New Roman" w:eastAsia="宋体" w:cs="Times New Roman"/>
          <w:color w:val="0000FF"/>
          <w:sz w:val="24"/>
        </w:rPr>
      </w:pPr>
      <w:r>
        <w:rPr>
          <w:rFonts w:ascii="Times New Roman" w:hAnsi="Times New Roman" w:eastAsia="宋体" w:cs="Times New Roman"/>
          <w:color w:val="0000FF"/>
          <w:sz w:val="24"/>
        </w:rPr>
        <w:t>示例：</w:t>
      </w:r>
      <w:r>
        <w:rPr>
          <w:rFonts w:ascii="Times New Roman" w:hAnsi="Times New Roman" w:eastAsia="宋体" w:cs="Times New Roman"/>
          <w:b/>
          <w:bCs/>
          <w:color w:val="0000FF"/>
          <w:sz w:val="24"/>
        </w:rPr>
        <w:t xml:space="preserve">【关键词】 </w:t>
      </w:r>
      <w:r>
        <w:rPr>
          <w:rFonts w:ascii="Times New Roman" w:hAnsi="Times New Roman" w:eastAsia="宋体" w:cs="Times New Roman"/>
          <w:color w:val="0000FF"/>
          <w:sz w:val="24"/>
        </w:rPr>
        <w:t>继发性不孕；复发性流产；肝脾肾同调；序贯分期治疗</w:t>
      </w:r>
    </w:p>
    <w:p w14:paraId="5DFACC84">
      <w:pPr>
        <w:widowControl/>
        <w:jc w:val="left"/>
        <w:rPr>
          <w:rFonts w:ascii="Times New Roman" w:hAnsi="Times New Roman" w:eastAsia="宋体" w:cs="Times New Roman"/>
          <w:color w:val="0000FF"/>
          <w:sz w:val="24"/>
        </w:rPr>
      </w:pPr>
    </w:p>
    <w:p w14:paraId="7984DC96">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790F5143">
      <w:pPr>
        <w:widowControl/>
        <w:jc w:val="left"/>
        <w:rPr>
          <w:rFonts w:ascii="Times New Roman" w:hAnsi="Times New Roman" w:eastAsia="宋体" w:cs="Times New Roman"/>
          <w:color w:val="FF0000"/>
        </w:rPr>
      </w:pPr>
      <w:r>
        <w:rPr>
          <w:rFonts w:ascii="Times New Roman" w:hAnsi="Times New Roman" w:eastAsia="宋体" w:cs="Times New Roman"/>
          <w:color w:val="FF0000"/>
        </w:rPr>
        <w:t>1.建议3~5个名词实词；</w:t>
      </w:r>
    </w:p>
    <w:p w14:paraId="5BAD7166">
      <w:pPr>
        <w:widowControl/>
        <w:jc w:val="left"/>
        <w:rPr>
          <w:rFonts w:ascii="Times New Roman" w:hAnsi="Times New Roman" w:eastAsia="宋体" w:cs="Times New Roman"/>
          <w:color w:val="FF0000"/>
        </w:rPr>
      </w:pPr>
      <w:r>
        <w:rPr>
          <w:rFonts w:ascii="Times New Roman" w:hAnsi="Times New Roman" w:eastAsia="宋体" w:cs="Times New Roman"/>
          <w:color w:val="FF0000"/>
        </w:rPr>
        <w:t>2.根据论文的题目、摘要和全文内容及所涉及的范围，统筹考虑选择关键词（主题词），可参考《医学主题词表》（Medical Subject Headings，简称MeSH）、《医学主题词表（MeSH）中医药主题词表及《中国中医药学主题词表》，如相关主题词表查不到，而论文又必须标引该词，可不受以上主题词表限制，将该词标引为关键词。</w:t>
      </w:r>
    </w:p>
    <w:p w14:paraId="27E42BD9">
      <w:pPr>
        <w:rPr>
          <w:rFonts w:ascii="Times New Roman" w:hAnsi="Times New Roman" w:eastAsia="宋体" w:cs="Times New Roman"/>
          <w:color w:val="FF0000"/>
        </w:rPr>
      </w:pPr>
    </w:p>
    <w:p w14:paraId="7772FCD8">
      <w:pPr>
        <w:rPr>
          <w:rFonts w:ascii="Times New Roman" w:hAnsi="Times New Roman" w:eastAsia="宋体" w:cs="Times New Roman"/>
          <w:bCs/>
          <w:sz w:val="24"/>
        </w:rPr>
      </w:pPr>
      <w:r>
        <w:rPr>
          <w:rFonts w:ascii="Times New Roman" w:hAnsi="Times New Roman" w:eastAsia="宋体" w:cs="Times New Roman"/>
          <w:bCs/>
          <w:sz w:val="24"/>
        </w:rPr>
        <w:t>【</w:t>
      </w:r>
      <w:r>
        <w:rPr>
          <w:rFonts w:ascii="Times New Roman" w:hAnsi="Times New Roman" w:eastAsia="宋体" w:cs="Times New Roman"/>
          <w:b/>
          <w:sz w:val="24"/>
        </w:rPr>
        <w:t>适合阅读专业</w:t>
      </w:r>
      <w:r>
        <w:rPr>
          <w:rFonts w:ascii="Times New Roman" w:hAnsi="Times New Roman" w:eastAsia="宋体" w:cs="Times New Roman"/>
          <w:bCs/>
          <w:sz w:val="24"/>
        </w:rPr>
        <w:t>】</w:t>
      </w:r>
      <w:r>
        <w:rPr>
          <w:rFonts w:ascii="Times New Roman" w:hAnsi="Times New Roman" w:eastAsia="宋体" w:cs="Times New Roman"/>
          <w:b/>
          <w:sz w:val="24"/>
        </w:rPr>
        <w:t xml:space="preserve"> </w:t>
      </w:r>
      <w:r>
        <w:rPr>
          <w:rFonts w:ascii="Times New Roman" w:hAnsi="Times New Roman" w:eastAsia="宋体" w:cs="Times New Roman"/>
          <w:bCs/>
          <w:sz w:val="24"/>
        </w:rPr>
        <w:t>本案例涉及的学科、专业；治疗方法（单纯中药、中西医结合、非药物疗法、少数民族医药）</w:t>
      </w:r>
    </w:p>
    <w:p w14:paraId="115AE295">
      <w:pPr>
        <w:rPr>
          <w:rFonts w:ascii="Times New Roman" w:hAnsi="Times New Roman" w:eastAsia="宋体" w:cs="Times New Roman"/>
          <w:color w:val="0000FF"/>
          <w:sz w:val="24"/>
        </w:rPr>
      </w:pPr>
      <w:r>
        <w:rPr>
          <w:rFonts w:ascii="Times New Roman" w:hAnsi="Times New Roman" w:eastAsia="宋体" w:cs="Times New Roman"/>
          <w:color w:val="0000FF"/>
          <w:sz w:val="24"/>
        </w:rPr>
        <w:t>示例：</w:t>
      </w:r>
      <w:r>
        <w:rPr>
          <w:rFonts w:ascii="Times New Roman" w:hAnsi="Times New Roman" w:eastAsia="宋体" w:cs="Times New Roman"/>
          <w:b/>
          <w:bCs/>
          <w:color w:val="0000FF"/>
          <w:sz w:val="24"/>
        </w:rPr>
        <w:t xml:space="preserve">【适合阅读专业】 </w:t>
      </w:r>
      <w:r>
        <w:rPr>
          <w:rFonts w:ascii="Times New Roman" w:hAnsi="Times New Roman" w:eastAsia="宋体" w:cs="Times New Roman"/>
          <w:color w:val="0000FF"/>
          <w:sz w:val="24"/>
        </w:rPr>
        <w:t>中医妇科；中西医结合妇科或者中医内科学；神经内科学</w:t>
      </w:r>
    </w:p>
    <w:p w14:paraId="66B32832">
      <w:pPr>
        <w:rPr>
          <w:rFonts w:ascii="Times New Roman" w:hAnsi="Times New Roman" w:eastAsia="宋体" w:cs="Times New Roman"/>
          <w:color w:val="0000FF"/>
          <w:sz w:val="24"/>
        </w:rPr>
      </w:pPr>
    </w:p>
    <w:p w14:paraId="0219FD9B">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3A22C4F4">
      <w:pPr>
        <w:widowControl/>
        <w:jc w:val="left"/>
        <w:rPr>
          <w:rFonts w:ascii="Times New Roman" w:hAnsi="Times New Roman" w:eastAsia="宋体" w:cs="Times New Roman"/>
          <w:color w:val="FF0000"/>
        </w:rPr>
      </w:pPr>
      <w:r>
        <w:rPr>
          <w:rFonts w:ascii="Times New Roman" w:hAnsi="Times New Roman" w:eastAsia="宋体" w:cs="Times New Roman"/>
          <w:color w:val="FF0000"/>
        </w:rPr>
        <w:t>1.突出案例核心领域；</w:t>
      </w:r>
    </w:p>
    <w:p w14:paraId="62EA8D79">
      <w:pPr>
        <w:widowControl/>
        <w:jc w:val="left"/>
        <w:rPr>
          <w:rFonts w:ascii="Times New Roman" w:hAnsi="Times New Roman" w:eastAsia="宋体" w:cs="Times New Roman"/>
          <w:color w:val="FF0000"/>
        </w:rPr>
      </w:pPr>
      <w:r>
        <w:rPr>
          <w:rFonts w:ascii="Times New Roman" w:hAnsi="Times New Roman" w:eastAsia="宋体" w:cs="Times New Roman"/>
          <w:color w:val="FF0000"/>
        </w:rPr>
        <w:t>2.避免模糊表述，应采用具体术语，参考《医疗机构诊疗科目名录》；</w:t>
      </w:r>
    </w:p>
    <w:p w14:paraId="5B423AB7">
      <w:pPr>
        <w:rPr>
          <w:rFonts w:ascii="Times New Roman" w:hAnsi="Times New Roman" w:eastAsia="宋体" w:cs="Times New Roman"/>
          <w:color w:val="FF0000"/>
        </w:rPr>
      </w:pPr>
      <w:r>
        <w:rPr>
          <w:rFonts w:ascii="Times New Roman" w:hAnsi="Times New Roman" w:eastAsia="宋体" w:cs="Times New Roman"/>
          <w:color w:val="FF0000"/>
        </w:rPr>
        <w:t>3.治疗方法四选一。</w:t>
      </w:r>
    </w:p>
    <w:p w14:paraId="16D35D91">
      <w:pPr>
        <w:ind w:firstLine="420" w:firstLineChars="200"/>
        <w:rPr>
          <w:rFonts w:ascii="Times New Roman" w:hAnsi="Times New Roman" w:eastAsia="宋体" w:cs="Times New Roman"/>
          <w:color w:val="FF0000"/>
        </w:rPr>
      </w:pPr>
    </w:p>
    <w:p w14:paraId="45B94A68">
      <w:pPr>
        <w:rPr>
          <w:rFonts w:ascii="Times New Roman" w:hAnsi="Times New Roman" w:eastAsia="宋体" w:cs="Times New Roman"/>
          <w:b/>
          <w:sz w:val="24"/>
        </w:rPr>
      </w:pPr>
      <w:r>
        <w:rPr>
          <w:rFonts w:ascii="Times New Roman" w:hAnsi="Times New Roman" w:eastAsia="宋体" w:cs="Times New Roman"/>
          <w:b/>
          <w:sz w:val="24"/>
        </w:rPr>
        <w:t>英文摘要</w:t>
      </w:r>
    </w:p>
    <w:p w14:paraId="7068639A">
      <w:pPr>
        <w:ind w:firstLine="480" w:firstLineChars="200"/>
        <w:rPr>
          <w:rFonts w:ascii="Times New Roman" w:hAnsi="Times New Roman" w:eastAsia="宋体" w:cs="Times New Roman"/>
          <w:bCs/>
          <w:sz w:val="24"/>
        </w:rPr>
      </w:pPr>
      <w:r>
        <w:rPr>
          <w:rFonts w:ascii="Times New Roman" w:hAnsi="Times New Roman" w:eastAsia="宋体" w:cs="Times New Roman"/>
          <w:bCs/>
          <w:sz w:val="24"/>
        </w:rPr>
        <w:t>作者、单位、案例摘要、关键词及适合阅读的专业</w:t>
      </w:r>
      <w:r>
        <w:rPr>
          <w:rFonts w:hint="eastAsia" w:ascii="Times New Roman" w:hAnsi="Times New Roman" w:eastAsia="宋体" w:cs="Times New Roman"/>
          <w:bCs/>
          <w:sz w:val="24"/>
        </w:rPr>
        <w:t>。</w:t>
      </w:r>
    </w:p>
    <w:p w14:paraId="6FC1F365">
      <w:pPr>
        <w:rPr>
          <w:rFonts w:ascii="Times New Roman" w:hAnsi="Times New Roman" w:eastAsia="宋体" w:cs="Times New Roman"/>
          <w:color w:val="FF0000"/>
        </w:rPr>
      </w:pPr>
    </w:p>
    <w:p w14:paraId="7EA34B9F">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5998FC2F">
      <w:pPr>
        <w:ind w:firstLine="420" w:firstLineChars="200"/>
        <w:rPr>
          <w:rFonts w:ascii="Times New Roman" w:hAnsi="Times New Roman" w:eastAsia="宋体" w:cs="Times New Roman"/>
          <w:color w:val="FF0000"/>
        </w:rPr>
      </w:pPr>
      <w:r>
        <w:rPr>
          <w:rFonts w:ascii="Times New Roman" w:hAnsi="Times New Roman" w:eastAsia="宋体" w:cs="Times New Roman"/>
          <w:color w:val="FF0000"/>
        </w:rPr>
        <w:t>与中文一致，不得出现内容、语法、时态等错误，不能遗漏关键信息。（文中所有英文均选用Times New Roman字体。摘要部分的字体为Times New Roman，字体大小为10磅，行距为12磅，段前距0磅，段后距4磅。摘要一词需要加重，后面加冒号。关键词部分及适合阅读的专业的字体为Times New Roman，字体大小为10磅，行距为12磅，段前距0磅，段后距4磅。关键词一词需要加重，后面加冒号，每个关键词之间用逗号隔开。适合阅读的专业需要加重，后面加冒号，每个专业之间用逗号隔开）</w:t>
      </w:r>
    </w:p>
    <w:p w14:paraId="5D0F86CA">
      <w:pPr>
        <w:ind w:firstLine="420" w:firstLineChars="200"/>
        <w:rPr>
          <w:rFonts w:ascii="Times New Roman" w:hAnsi="Times New Roman" w:eastAsia="宋体" w:cs="Times New Roman"/>
          <w:color w:val="FF0000"/>
        </w:rPr>
      </w:pPr>
    </w:p>
    <w:p w14:paraId="37B2ECEB">
      <w:pPr>
        <w:widowControl/>
        <w:jc w:val="center"/>
        <w:rPr>
          <w:rFonts w:ascii="Times New Roman" w:hAnsi="Times New Roman" w:eastAsia="宋体" w:cs="Times New Roman"/>
          <w:b/>
          <w:kern w:val="0"/>
          <w:sz w:val="24"/>
        </w:rPr>
      </w:pPr>
      <w:r>
        <w:rPr>
          <w:rFonts w:ascii="Times New Roman" w:hAnsi="Times New Roman" w:eastAsia="宋体" w:cs="Times New Roman"/>
          <w:b/>
          <w:kern w:val="0"/>
          <w:sz w:val="24"/>
        </w:rPr>
        <w:t>引</w:t>
      </w:r>
      <w:r>
        <w:rPr>
          <w:rFonts w:hint="eastAsia" w:ascii="Times New Roman" w:hAnsi="Times New Roman" w:eastAsia="宋体" w:cs="Times New Roman"/>
          <w:b/>
          <w:kern w:val="0"/>
          <w:sz w:val="24"/>
        </w:rPr>
        <w:t xml:space="preserve">  </w:t>
      </w:r>
      <w:r>
        <w:rPr>
          <w:rFonts w:ascii="Times New Roman" w:hAnsi="Times New Roman" w:eastAsia="宋体" w:cs="Times New Roman"/>
          <w:b/>
          <w:kern w:val="0"/>
          <w:sz w:val="24"/>
        </w:rPr>
        <w:t>言</w:t>
      </w:r>
    </w:p>
    <w:p w14:paraId="6637BEAC">
      <w:pPr>
        <w:ind w:firstLine="480" w:firstLineChars="200"/>
        <w:rPr>
          <w:rFonts w:ascii="Times New Roman" w:hAnsi="Times New Roman" w:eastAsia="宋体" w:cs="Times New Roman"/>
          <w:bCs/>
          <w:sz w:val="24"/>
        </w:rPr>
      </w:pPr>
      <w:r>
        <w:rPr>
          <w:rFonts w:ascii="Times New Roman" w:hAnsi="Times New Roman" w:eastAsia="宋体" w:cs="Times New Roman"/>
          <w:bCs/>
          <w:sz w:val="24"/>
        </w:rPr>
        <w:t>需包括本疾病的定义、流行病学现状、目前治疗这个疾病当前存在的问题或不足或困难，中医治疗优势及本案例的价值。</w:t>
      </w:r>
    </w:p>
    <w:p w14:paraId="039ABB62">
      <w:pPr>
        <w:rPr>
          <w:rFonts w:ascii="Times New Roman" w:hAnsi="Times New Roman" w:eastAsia="宋体" w:cs="Times New Roman"/>
          <w:color w:val="0000FF"/>
          <w:sz w:val="24"/>
        </w:rPr>
      </w:pPr>
      <w:r>
        <w:rPr>
          <w:rFonts w:ascii="Times New Roman" w:hAnsi="Times New Roman" w:eastAsia="宋体" w:cs="Times New Roman"/>
          <w:color w:val="0000FF"/>
          <w:sz w:val="24"/>
        </w:rPr>
        <w:t>示例：</w:t>
      </w:r>
    </w:p>
    <w:p w14:paraId="62134B7B">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女性生育力随年龄增长而下降，随着不孕患者病程增长以及部分女性生育意愿推迟，年龄大于35岁的高龄女性行体外受精-胚胎移植（in vitro fertilization and embryo transfer， IVF-ET）的比例逐年上升。因年龄与辅助生殖结局明确相关，故高龄女性行辅助生殖技术的胚胎种植率、临床妊娠率、活产率降低，流产率增加。导致反复IVF-ET失败的原因与卵巢功能减退、子宫内膜容受性降低、血栓前状态、免疫异常等因素相关。西医主要予以黄体支持、改善子宫内膜容受性、改善血栓前状态、纠正免疫紊乱等治疗措施，部分患者可能获得成功妊娠，但若合并诸多影响不孕的因素，如不孕年限、高龄、内分泌疾病、免疫失调等，则难以提高胚胎种植率和活产率。对此，充分发挥中医药围试管期调治的优势，介入反复IVF-ET失败的治疗，通过改善患者的卵巢功能、输卵管通畅度、盆腔微环境、子宫内膜容受性，有望改善反复IVF-ET失败患者的妊娠结局或获得自然妊娠。</w:t>
      </w:r>
    </w:p>
    <w:p w14:paraId="1943A652">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针对本案例高龄不孕反复IVF-ET失败的患者，魏绍斌教授认为其主要病机为脾肾不足，肝郁血瘀。在调治过程中，注重辨病与辨证结合，根据导致患者不孕的疾病和反复IVF-ET失败的原因，分析其是否有自然妊娠可能，拟定经后期（卵泡期）和经前期（黄体期）肝脾肾同调序贯分期助孕方案，同时注意悉心疏解和指导，身心同调，孕后重视补肾健脾、固任安胎，中西医结合保胎。本文报道魏绍斌教授运用中医药治疗高龄反复IVF-ET失败患者自然妊娠案例1则，旨在为类似疑难病症的诊治提供借鉴。</w:t>
      </w:r>
    </w:p>
    <w:p w14:paraId="53505C33">
      <w:pPr>
        <w:rPr>
          <w:rFonts w:ascii="Times New Roman" w:hAnsi="Times New Roman" w:eastAsia="宋体" w:cs="Times New Roman"/>
          <w:color w:val="0000FF"/>
          <w:sz w:val="24"/>
        </w:rPr>
      </w:pPr>
    </w:p>
    <w:p w14:paraId="4CEDE426">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5D56548E">
      <w:pPr>
        <w:rPr>
          <w:rFonts w:ascii="Times New Roman" w:hAnsi="Times New Roman" w:eastAsia="宋体" w:cs="Times New Roman"/>
          <w:color w:val="FF0000"/>
        </w:rPr>
      </w:pPr>
      <w:r>
        <w:rPr>
          <w:rFonts w:ascii="Times New Roman" w:hAnsi="Times New Roman" w:eastAsia="宋体" w:cs="Times New Roman"/>
          <w:color w:val="FF0000"/>
        </w:rPr>
        <w:t>引言简明扼要，以500字左右为宜。</w:t>
      </w:r>
    </w:p>
    <w:p w14:paraId="53F6A1C1">
      <w:pPr>
        <w:rPr>
          <w:rFonts w:ascii="Times New Roman" w:hAnsi="Times New Roman" w:eastAsia="宋体" w:cs="Times New Roman"/>
          <w:color w:val="FF0000"/>
        </w:rPr>
      </w:pPr>
      <w:r>
        <w:rPr>
          <w:rFonts w:ascii="Times New Roman" w:hAnsi="Times New Roman" w:eastAsia="宋体" w:cs="Times New Roman"/>
          <w:color w:val="FF0000"/>
        </w:rPr>
        <w:t>1.引言切忌与摘要、结论、临证体会重复；</w:t>
      </w:r>
    </w:p>
    <w:p w14:paraId="37A83E9B">
      <w:pPr>
        <w:rPr>
          <w:rFonts w:ascii="Times New Roman" w:hAnsi="Times New Roman" w:eastAsia="宋体" w:cs="Times New Roman"/>
          <w:color w:val="FF0000"/>
        </w:rPr>
      </w:pPr>
      <w:r>
        <w:rPr>
          <w:rFonts w:ascii="Times New Roman" w:hAnsi="Times New Roman" w:eastAsia="宋体" w:cs="Times New Roman"/>
          <w:color w:val="FF0000"/>
        </w:rPr>
        <w:t>2.不能出现图、表以及公式；</w:t>
      </w:r>
    </w:p>
    <w:p w14:paraId="4C76A3D0">
      <w:pPr>
        <w:rPr>
          <w:rFonts w:ascii="Times New Roman" w:hAnsi="Times New Roman" w:eastAsia="宋体" w:cs="Times New Roman"/>
          <w:color w:val="FF0000"/>
        </w:rPr>
      </w:pPr>
      <w:r>
        <w:rPr>
          <w:rFonts w:ascii="Times New Roman" w:hAnsi="Times New Roman" w:eastAsia="宋体" w:cs="Times New Roman"/>
          <w:color w:val="FF0000"/>
        </w:rPr>
        <w:t>3.文字描述要客观，不能出现“首次”“第一”等主观性强的词汇；</w:t>
      </w:r>
    </w:p>
    <w:p w14:paraId="7E7744CA">
      <w:pPr>
        <w:rPr>
          <w:rFonts w:ascii="Times New Roman" w:hAnsi="Times New Roman" w:eastAsia="宋体" w:cs="Times New Roman"/>
          <w:color w:val="FF0000"/>
        </w:rPr>
      </w:pPr>
      <w:r>
        <w:rPr>
          <w:rFonts w:ascii="Times New Roman" w:hAnsi="Times New Roman" w:eastAsia="宋体" w:cs="Times New Roman"/>
          <w:color w:val="FF0000"/>
        </w:rPr>
        <w:t>4.所用名词术语采用国家公布或已通用者为准。中外医学名词使用全称，用英文简称时，在首次出现时应用中英文全称；</w:t>
      </w:r>
    </w:p>
    <w:p w14:paraId="4096FE9B">
      <w:pPr>
        <w:rPr>
          <w:rFonts w:ascii="Times New Roman" w:hAnsi="Times New Roman" w:eastAsia="宋体" w:cs="Times New Roman"/>
          <w:color w:val="FF0000"/>
        </w:rPr>
      </w:pPr>
      <w:r>
        <w:rPr>
          <w:rFonts w:ascii="Times New Roman" w:hAnsi="Times New Roman" w:eastAsia="宋体" w:cs="Times New Roman"/>
          <w:color w:val="FF0000"/>
        </w:rPr>
        <w:t>5.涉及参考文献的请标明。</w:t>
      </w:r>
    </w:p>
    <w:p w14:paraId="7BB258A5">
      <w:pPr>
        <w:rPr>
          <w:rFonts w:ascii="Times New Roman" w:hAnsi="Times New Roman" w:eastAsia="宋体" w:cs="Times New Roman"/>
          <w:color w:val="FF0000"/>
        </w:rPr>
      </w:pPr>
    </w:p>
    <w:p w14:paraId="03FFB811">
      <w:pPr>
        <w:rPr>
          <w:rFonts w:ascii="Times New Roman" w:hAnsi="Times New Roman" w:eastAsia="宋体" w:cs="Times New Roman"/>
          <w:color w:val="FF0000"/>
        </w:rPr>
      </w:pPr>
    </w:p>
    <w:p w14:paraId="04451D0D">
      <w:pPr>
        <w:jc w:val="center"/>
        <w:rPr>
          <w:rFonts w:ascii="Times New Roman" w:hAnsi="Times New Roman" w:eastAsia="宋体" w:cs="Times New Roman"/>
          <w:b/>
          <w:sz w:val="24"/>
        </w:rPr>
      </w:pPr>
      <w:r>
        <w:rPr>
          <w:rFonts w:ascii="Times New Roman" w:hAnsi="Times New Roman" w:eastAsia="宋体" w:cs="Times New Roman"/>
          <w:b/>
          <w:sz w:val="24"/>
        </w:rPr>
        <w:t>患者诊疗过程</w:t>
      </w:r>
    </w:p>
    <w:p w14:paraId="1EF13220">
      <w:pPr>
        <w:ind w:firstLine="480" w:firstLineChars="200"/>
        <w:rPr>
          <w:rFonts w:ascii="Times New Roman" w:hAnsi="Times New Roman" w:eastAsia="宋体" w:cs="Times New Roman"/>
          <w:bCs/>
          <w:sz w:val="24"/>
        </w:rPr>
      </w:pPr>
    </w:p>
    <w:p w14:paraId="261CB877">
      <w:pPr>
        <w:rPr>
          <w:rFonts w:ascii="Times New Roman" w:hAnsi="Times New Roman" w:eastAsia="宋体" w:cs="Times New Roman"/>
          <w:b/>
          <w:bCs/>
          <w:sz w:val="24"/>
        </w:rPr>
      </w:pPr>
      <w:r>
        <w:rPr>
          <w:rFonts w:ascii="Times New Roman" w:hAnsi="Times New Roman" w:eastAsia="宋体" w:cs="Times New Roman"/>
          <w:b/>
          <w:bCs/>
          <w:sz w:val="24"/>
        </w:rPr>
        <w:t>一、首诊</w:t>
      </w:r>
    </w:p>
    <w:p w14:paraId="36DD619B">
      <w:pPr>
        <w:rPr>
          <w:rFonts w:ascii="Times New Roman" w:hAnsi="Times New Roman" w:eastAsia="宋体" w:cs="Times New Roman"/>
          <w:b/>
          <w:bCs/>
          <w:sz w:val="24"/>
        </w:rPr>
      </w:pPr>
      <w:r>
        <w:rPr>
          <w:rFonts w:ascii="Times New Roman" w:hAnsi="Times New Roman" w:eastAsia="宋体" w:cs="Times New Roman"/>
          <w:b/>
          <w:bCs/>
          <w:sz w:val="24"/>
        </w:rPr>
        <w:t>1.一般信息</w:t>
      </w:r>
    </w:p>
    <w:p w14:paraId="65F64FDF">
      <w:pPr>
        <w:ind w:firstLine="480" w:firstLineChars="200"/>
        <w:rPr>
          <w:rFonts w:ascii="Times New Roman" w:hAnsi="Times New Roman" w:eastAsia="宋体" w:cs="Times New Roman"/>
          <w:bCs/>
          <w:sz w:val="24"/>
        </w:rPr>
      </w:pPr>
      <w:r>
        <w:rPr>
          <w:rFonts w:ascii="Times New Roman" w:hAnsi="Times New Roman" w:eastAsia="宋体" w:cs="Times New Roman"/>
          <w:bCs/>
          <w:sz w:val="24"/>
        </w:rPr>
        <w:t>包括患者姓名（以姓指代），性别，年龄，籍贯，就诊日期，发病节气。</w:t>
      </w:r>
    </w:p>
    <w:p w14:paraId="356312AD">
      <w:pPr>
        <w:rPr>
          <w:rFonts w:ascii="Times New Roman" w:hAnsi="Times New Roman" w:eastAsia="宋体" w:cs="Times New Roman"/>
          <w:color w:val="0000FF"/>
          <w:sz w:val="24"/>
        </w:rPr>
      </w:pPr>
      <w:r>
        <w:rPr>
          <w:rFonts w:ascii="Times New Roman" w:hAnsi="Times New Roman" w:eastAsia="宋体" w:cs="Times New Roman"/>
          <w:color w:val="0000FF"/>
          <w:sz w:val="24"/>
        </w:rPr>
        <w:t>示例：</w:t>
      </w:r>
    </w:p>
    <w:p w14:paraId="34D04992">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患者，女，40岁，籍贯四川省某地市，就诊日期：2024年02月03日，发病节气：大寒后。</w:t>
      </w:r>
    </w:p>
    <w:p w14:paraId="35A32DE5">
      <w:pPr>
        <w:ind w:firstLine="480" w:firstLineChars="200"/>
        <w:rPr>
          <w:rFonts w:ascii="Times New Roman" w:hAnsi="Times New Roman" w:eastAsia="宋体" w:cs="Times New Roman"/>
          <w:color w:val="0000FF"/>
          <w:sz w:val="24"/>
        </w:rPr>
      </w:pPr>
    </w:p>
    <w:p w14:paraId="50248B73">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25068BC7">
      <w:pPr>
        <w:rPr>
          <w:rFonts w:ascii="Times New Roman" w:hAnsi="Times New Roman" w:eastAsia="宋体" w:cs="Times New Roman"/>
          <w:color w:val="FF0000"/>
        </w:rPr>
      </w:pPr>
      <w:r>
        <w:rPr>
          <w:rFonts w:ascii="Times New Roman" w:hAnsi="Times New Roman" w:eastAsia="宋体" w:cs="Times New Roman"/>
          <w:color w:val="FF0000"/>
        </w:rPr>
        <w:t>1.应与原始病历保持一致；</w:t>
      </w:r>
    </w:p>
    <w:p w14:paraId="072D1256">
      <w:pPr>
        <w:rPr>
          <w:rFonts w:ascii="Times New Roman" w:hAnsi="Times New Roman" w:eastAsia="宋体" w:cs="Times New Roman"/>
          <w:color w:val="FF0000"/>
        </w:rPr>
      </w:pPr>
      <w:r>
        <w:rPr>
          <w:rFonts w:ascii="Times New Roman" w:hAnsi="Times New Roman" w:eastAsia="宋体" w:cs="Times New Roman"/>
          <w:color w:val="FF0000"/>
        </w:rPr>
        <w:t>2.发病时节气，非就诊节气；</w:t>
      </w:r>
    </w:p>
    <w:p w14:paraId="672513D4">
      <w:pPr>
        <w:rPr>
          <w:rFonts w:ascii="Times New Roman" w:hAnsi="Times New Roman" w:eastAsia="宋体" w:cs="Times New Roman"/>
          <w:color w:val="FF0000"/>
        </w:rPr>
      </w:pPr>
      <w:r>
        <w:rPr>
          <w:rFonts w:ascii="Times New Roman" w:hAnsi="Times New Roman" w:eastAsia="宋体" w:cs="Times New Roman"/>
          <w:color w:val="FF0000"/>
        </w:rPr>
        <w:t>3.籍贯注意保护患者隐私，到4种省级行政单位即可（省、自治区、直辖市、特别行政区）。</w:t>
      </w:r>
    </w:p>
    <w:p w14:paraId="14769AC3">
      <w:pPr>
        <w:ind w:firstLine="480" w:firstLineChars="200"/>
        <w:rPr>
          <w:rFonts w:ascii="Times New Roman" w:hAnsi="Times New Roman" w:eastAsia="宋体" w:cs="Times New Roman"/>
          <w:bCs/>
          <w:sz w:val="24"/>
        </w:rPr>
      </w:pPr>
    </w:p>
    <w:p w14:paraId="251BF027">
      <w:pPr>
        <w:rPr>
          <w:rFonts w:ascii="Times New Roman" w:hAnsi="Times New Roman" w:eastAsia="宋体" w:cs="Times New Roman"/>
          <w:b/>
          <w:bCs/>
          <w:sz w:val="24"/>
        </w:rPr>
      </w:pPr>
      <w:r>
        <w:rPr>
          <w:rFonts w:ascii="Times New Roman" w:hAnsi="Times New Roman" w:eastAsia="宋体" w:cs="Times New Roman"/>
          <w:b/>
          <w:bCs/>
          <w:sz w:val="24"/>
        </w:rPr>
        <w:t>2.病史</w:t>
      </w:r>
    </w:p>
    <w:p w14:paraId="3BD8BC52">
      <w:pPr>
        <w:rPr>
          <w:rFonts w:ascii="Times New Roman" w:hAnsi="Times New Roman" w:eastAsia="宋体" w:cs="Times New Roman"/>
          <w:bCs/>
          <w:sz w:val="24"/>
        </w:rPr>
      </w:pPr>
      <w:r>
        <w:rPr>
          <w:rFonts w:ascii="Times New Roman" w:hAnsi="Times New Roman" w:eastAsia="宋体" w:cs="Times New Roman"/>
          <w:bCs/>
          <w:sz w:val="24"/>
        </w:rPr>
        <w:t>①主诉</w:t>
      </w:r>
    </w:p>
    <w:p w14:paraId="04BD5974">
      <w:pPr>
        <w:rPr>
          <w:rFonts w:ascii="Times New Roman" w:hAnsi="Times New Roman" w:eastAsia="宋体" w:cs="Times New Roman"/>
          <w:color w:val="0000FF"/>
          <w:sz w:val="24"/>
        </w:rPr>
      </w:pPr>
      <w:r>
        <w:rPr>
          <w:rFonts w:ascii="Times New Roman" w:hAnsi="Times New Roman" w:eastAsia="宋体" w:cs="Times New Roman"/>
          <w:color w:val="0000FF"/>
          <w:sz w:val="24"/>
        </w:rPr>
        <w:t>示例：未避孕未孕4年余</w:t>
      </w:r>
    </w:p>
    <w:p w14:paraId="6F1D6B70">
      <w:pPr>
        <w:rPr>
          <w:rFonts w:ascii="Times New Roman" w:hAnsi="Times New Roman" w:eastAsia="宋体" w:cs="Times New Roman"/>
          <w:color w:val="0000FF"/>
          <w:sz w:val="24"/>
        </w:rPr>
      </w:pPr>
    </w:p>
    <w:p w14:paraId="56AF9FA6">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2A8C75CD">
      <w:pPr>
        <w:rPr>
          <w:rFonts w:ascii="Times New Roman" w:hAnsi="Times New Roman" w:eastAsia="宋体" w:cs="Times New Roman"/>
          <w:color w:val="FF0000"/>
        </w:rPr>
      </w:pPr>
      <w:r>
        <w:rPr>
          <w:rFonts w:ascii="Times New Roman" w:hAnsi="Times New Roman" w:eastAsia="宋体" w:cs="Times New Roman"/>
          <w:color w:val="FF0000"/>
        </w:rPr>
        <w:t>1.主诉是指促使患者就诊的主要症状(或体征)及持续时间；</w:t>
      </w:r>
    </w:p>
    <w:p w14:paraId="699012C9">
      <w:pPr>
        <w:rPr>
          <w:rFonts w:ascii="Times New Roman" w:hAnsi="Times New Roman" w:eastAsia="宋体" w:cs="Times New Roman"/>
          <w:color w:val="FF0000"/>
        </w:rPr>
      </w:pPr>
      <w:r>
        <w:rPr>
          <w:rFonts w:ascii="Times New Roman" w:hAnsi="Times New Roman" w:eastAsia="宋体" w:cs="Times New Roman"/>
          <w:color w:val="FF0000"/>
        </w:rPr>
        <w:t>2.简明扼要：1~3个症状，20个字以内；</w:t>
      </w:r>
    </w:p>
    <w:p w14:paraId="572D96A3">
      <w:pPr>
        <w:rPr>
          <w:rFonts w:ascii="Times New Roman" w:hAnsi="Times New Roman" w:eastAsia="宋体" w:cs="Times New Roman"/>
          <w:color w:val="FF0000"/>
        </w:rPr>
      </w:pPr>
      <w:r>
        <w:rPr>
          <w:rFonts w:ascii="Times New Roman" w:hAnsi="Times New Roman" w:eastAsia="宋体" w:cs="Times New Roman"/>
          <w:color w:val="FF0000"/>
        </w:rPr>
        <w:t>3.有多个症状时按时间先后顺序记录；</w:t>
      </w:r>
    </w:p>
    <w:p w14:paraId="0AF8E175">
      <w:pPr>
        <w:rPr>
          <w:rFonts w:ascii="Times New Roman" w:hAnsi="Times New Roman" w:eastAsia="宋体" w:cs="Times New Roman"/>
          <w:color w:val="FF0000"/>
        </w:rPr>
      </w:pPr>
      <w:r>
        <w:rPr>
          <w:rFonts w:ascii="Times New Roman" w:hAnsi="Times New Roman" w:eastAsia="宋体" w:cs="Times New Roman"/>
          <w:color w:val="FF0000"/>
        </w:rPr>
        <w:t>4.须用症状学名词，不能用诊断或检查、检验结果代替症状；</w:t>
      </w:r>
    </w:p>
    <w:p w14:paraId="08EDEABF">
      <w:pPr>
        <w:rPr>
          <w:rFonts w:ascii="Times New Roman" w:hAnsi="Times New Roman" w:eastAsia="宋体" w:cs="Times New Roman"/>
          <w:color w:val="FF0000"/>
        </w:rPr>
      </w:pPr>
      <w:r>
        <w:rPr>
          <w:rFonts w:ascii="Times New Roman" w:hAnsi="Times New Roman" w:eastAsia="宋体" w:cs="Times New Roman"/>
          <w:color w:val="FF0000"/>
        </w:rPr>
        <w:t>5.能反映疾病起病方式。</w:t>
      </w:r>
    </w:p>
    <w:p w14:paraId="2A535F6E">
      <w:pPr>
        <w:rPr>
          <w:rFonts w:ascii="Times New Roman" w:hAnsi="Times New Roman" w:eastAsia="宋体" w:cs="Times New Roman"/>
          <w:color w:val="FF0000"/>
        </w:rPr>
      </w:pPr>
    </w:p>
    <w:p w14:paraId="5B80C1B8">
      <w:pPr>
        <w:rPr>
          <w:rFonts w:ascii="Times New Roman" w:hAnsi="Times New Roman" w:eastAsia="宋体" w:cs="Times New Roman"/>
          <w:bCs/>
          <w:sz w:val="24"/>
        </w:rPr>
      </w:pPr>
      <w:r>
        <w:rPr>
          <w:rFonts w:ascii="Times New Roman" w:hAnsi="Times New Roman" w:eastAsia="宋体" w:cs="Times New Roman"/>
          <w:bCs/>
          <w:sz w:val="24"/>
        </w:rPr>
        <w:t>②现病史、关键诊疗经过、刻下症</w:t>
      </w:r>
    </w:p>
    <w:p w14:paraId="7594A9F9">
      <w:pPr>
        <w:rPr>
          <w:rFonts w:ascii="Times New Roman" w:hAnsi="Times New Roman" w:eastAsia="宋体" w:cs="Times New Roman"/>
          <w:color w:val="0000FF"/>
          <w:sz w:val="24"/>
        </w:rPr>
      </w:pPr>
      <w:r>
        <w:rPr>
          <w:rFonts w:ascii="Times New Roman" w:hAnsi="Times New Roman" w:eastAsia="宋体" w:cs="Times New Roman"/>
          <w:color w:val="0000FF"/>
          <w:sz w:val="24"/>
        </w:rPr>
        <w:t>示例：</w:t>
      </w:r>
    </w:p>
    <w:p w14:paraId="6349B881">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现病史：患者因未避孕未孕3+年，遂于2023年3月至四川某医院寻求辅助生殖技术助孕，查夫妻双方染色体正常，胰岛素释放试验提示：空腹INS：28.32 μIU/mL↑，0.5h INS：173.46 μIU/mL↑，1h INS：207.43 μIU/mL↑，2h INS： 125.2 μIU/mL↑，3h INS：57.71 μIU/mL↑，诊断为“高胰岛素血症”，予以“二甲双胍”0.5g tid口服。2023年6月、9月行IVF-ET均未着床，遂于2023年10月08日于四川某院行“宫腔镜检查术”，病检结果提示“子宫内膜炎”。2023年11月再次行IVF-ET，2023年12月29日移植后孕7+周胚胎停育行“清宫术”，胚胎染色体为13-三体。患者高龄生育要求急迫，因3次试管失败，现无冻胚、囊胚，欲求中医药调治后再行IVF-ET，遂至魏绍斌教授门诊就诊。刻下症：情绪焦虑，生育压力大，纳可，眠差，二便调，舌偏红，苔白微腻，脉弦滑。</w:t>
      </w:r>
    </w:p>
    <w:p w14:paraId="1E38213B">
      <w:pPr>
        <w:rPr>
          <w:rFonts w:ascii="Times New Roman" w:hAnsi="Times New Roman" w:eastAsia="宋体" w:cs="Times New Roman"/>
          <w:color w:val="FF0000"/>
        </w:rPr>
      </w:pPr>
    </w:p>
    <w:p w14:paraId="6A5F8B47">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6E6F217F">
      <w:pPr>
        <w:rPr>
          <w:rFonts w:ascii="Times New Roman" w:hAnsi="Times New Roman" w:eastAsia="宋体" w:cs="Times New Roman"/>
          <w:color w:val="FF0000"/>
        </w:rPr>
      </w:pPr>
      <w:r>
        <w:rPr>
          <w:rFonts w:ascii="Times New Roman" w:hAnsi="Times New Roman" w:eastAsia="宋体" w:cs="Times New Roman"/>
          <w:color w:val="FF0000"/>
        </w:rPr>
        <w:t>1.现病史、关键诊疗经过、刻下症；</w:t>
      </w:r>
    </w:p>
    <w:p w14:paraId="3864E4E5">
      <w:pPr>
        <w:rPr>
          <w:rFonts w:ascii="Times New Roman" w:hAnsi="Times New Roman" w:eastAsia="宋体" w:cs="Times New Roman"/>
          <w:color w:val="FF0000"/>
        </w:rPr>
      </w:pPr>
      <w:r>
        <w:rPr>
          <w:rFonts w:ascii="Times New Roman" w:hAnsi="Times New Roman" w:eastAsia="宋体" w:cs="Times New Roman"/>
          <w:color w:val="FF0000"/>
        </w:rPr>
        <w:t>2.发病情况：发病日期、起病的缓急；</w:t>
      </w:r>
    </w:p>
    <w:p w14:paraId="11AE046E">
      <w:pPr>
        <w:rPr>
          <w:rFonts w:ascii="Times New Roman" w:hAnsi="Times New Roman" w:eastAsia="宋体" w:cs="Times New Roman"/>
          <w:color w:val="FF0000"/>
        </w:rPr>
      </w:pPr>
      <w:r>
        <w:rPr>
          <w:rFonts w:ascii="Times New Roman" w:hAnsi="Times New Roman" w:eastAsia="宋体" w:cs="Times New Roman"/>
          <w:color w:val="FF0000"/>
        </w:rPr>
        <w:t>3.病因及诱因：体力劳动、情绪激动、饱食、寒冷等；</w:t>
      </w:r>
    </w:p>
    <w:p w14:paraId="5BEC9E44">
      <w:pPr>
        <w:rPr>
          <w:rFonts w:ascii="Times New Roman" w:hAnsi="Times New Roman" w:eastAsia="宋体" w:cs="Times New Roman"/>
          <w:color w:val="FF0000"/>
        </w:rPr>
      </w:pPr>
      <w:r>
        <w:rPr>
          <w:rFonts w:ascii="Times New Roman" w:hAnsi="Times New Roman" w:eastAsia="宋体" w:cs="Times New Roman"/>
          <w:color w:val="FF0000"/>
        </w:rPr>
        <w:t>4.主要症状的描述（症状特点）（部位、性质、持续时间、缓解）；</w:t>
      </w:r>
    </w:p>
    <w:p w14:paraId="1F807A49">
      <w:pPr>
        <w:rPr>
          <w:rFonts w:ascii="Times New Roman" w:hAnsi="Times New Roman" w:eastAsia="宋体" w:cs="Times New Roman"/>
          <w:color w:val="FF0000"/>
        </w:rPr>
      </w:pPr>
      <w:r>
        <w:rPr>
          <w:rFonts w:ascii="Times New Roman" w:hAnsi="Times New Roman" w:eastAsia="宋体" w:cs="Times New Roman"/>
          <w:color w:val="FF0000"/>
        </w:rPr>
        <w:t>5.病情发展与演变过程：起病后的主要症状是持续性还是发作性，是进行性加重还是逐渐好转，缓解或加重的因素等；</w:t>
      </w:r>
    </w:p>
    <w:p w14:paraId="1EE0055C">
      <w:pPr>
        <w:rPr>
          <w:rFonts w:ascii="Times New Roman" w:hAnsi="Times New Roman" w:eastAsia="宋体" w:cs="Times New Roman"/>
          <w:color w:val="FF0000"/>
        </w:rPr>
      </w:pPr>
      <w:r>
        <w:rPr>
          <w:rFonts w:ascii="Times New Roman" w:hAnsi="Times New Roman" w:eastAsia="宋体" w:cs="Times New Roman"/>
          <w:color w:val="FF0000"/>
        </w:rPr>
        <w:t>6.伴随症状（有鉴别意义的阴性症状）：主要症状的同时又出现其他症状，为伴随症状。某种病按规律常出现的伴随症状，实际上没有出现称为有鉴别意义的阴性症状；</w:t>
      </w:r>
    </w:p>
    <w:p w14:paraId="133A4ECD">
      <w:pPr>
        <w:rPr>
          <w:rFonts w:ascii="Times New Roman" w:hAnsi="Times New Roman" w:eastAsia="宋体" w:cs="Times New Roman"/>
          <w:color w:val="FF0000"/>
        </w:rPr>
      </w:pPr>
      <w:r>
        <w:rPr>
          <w:rFonts w:ascii="Times New Roman" w:hAnsi="Times New Roman" w:eastAsia="宋体" w:cs="Times New Roman"/>
          <w:color w:val="FF0000"/>
        </w:rPr>
        <w:t>7.诊疗经过：病后到本次就诊前曾在何时、何地就诊？作过何种检查？结果诊断如何？做过什么治疗：药名、剂量、途径及效果，有无不良反应。对患者提供的药名、诊断和手术名称需加引号（“  ”）以示区别；</w:t>
      </w:r>
    </w:p>
    <w:p w14:paraId="3EEDC0AD">
      <w:pPr>
        <w:rPr>
          <w:rFonts w:ascii="Times New Roman" w:hAnsi="Times New Roman" w:eastAsia="宋体" w:cs="Times New Roman"/>
          <w:color w:val="FF0000"/>
        </w:rPr>
      </w:pPr>
      <w:r>
        <w:rPr>
          <w:rFonts w:ascii="Times New Roman" w:hAnsi="Times New Roman" w:eastAsia="宋体" w:cs="Times New Roman"/>
          <w:color w:val="FF0000"/>
        </w:rPr>
        <w:t>8.发病以来一般情况:结合十问简要记录患者发病后的寒热、饮食、睡眠、情志、二便、体质量等情况；</w:t>
      </w:r>
    </w:p>
    <w:p w14:paraId="42057B26">
      <w:pPr>
        <w:rPr>
          <w:rFonts w:ascii="Times New Roman" w:hAnsi="Times New Roman" w:eastAsia="宋体" w:cs="Times New Roman"/>
          <w:color w:val="0000FF"/>
          <w:sz w:val="24"/>
        </w:rPr>
      </w:pPr>
      <w:r>
        <w:rPr>
          <w:rFonts w:ascii="Times New Roman" w:hAnsi="Times New Roman" w:eastAsia="宋体" w:cs="Times New Roman"/>
          <w:color w:val="FF0000"/>
        </w:rPr>
        <w:t>9.关注患者生活方式、工作方式、娱乐方式。</w:t>
      </w:r>
    </w:p>
    <w:p w14:paraId="67523386">
      <w:pPr>
        <w:rPr>
          <w:rFonts w:ascii="Times New Roman" w:hAnsi="Times New Roman" w:eastAsia="宋体" w:cs="Times New Roman"/>
          <w:bCs/>
          <w:sz w:val="24"/>
        </w:rPr>
      </w:pPr>
    </w:p>
    <w:p w14:paraId="578F89E6">
      <w:pPr>
        <w:rPr>
          <w:rFonts w:ascii="Times New Roman" w:hAnsi="Times New Roman" w:eastAsia="宋体" w:cs="Times New Roman"/>
          <w:bCs/>
          <w:sz w:val="24"/>
        </w:rPr>
      </w:pPr>
      <w:r>
        <w:rPr>
          <w:rFonts w:ascii="Times New Roman" w:hAnsi="Times New Roman" w:eastAsia="宋体" w:cs="Times New Roman"/>
          <w:bCs/>
          <w:sz w:val="24"/>
        </w:rPr>
        <w:t>③既往史。</w:t>
      </w:r>
    </w:p>
    <w:p w14:paraId="38AA1DD0">
      <w:pPr>
        <w:rPr>
          <w:rFonts w:ascii="Times New Roman" w:hAnsi="Times New Roman" w:eastAsia="宋体" w:cs="Times New Roman"/>
          <w:color w:val="0000FF"/>
          <w:sz w:val="24"/>
        </w:rPr>
      </w:pPr>
      <w:r>
        <w:rPr>
          <w:rFonts w:ascii="Times New Roman" w:hAnsi="Times New Roman" w:eastAsia="宋体" w:cs="Times New Roman"/>
          <w:color w:val="0000FF"/>
          <w:sz w:val="24"/>
        </w:rPr>
        <w:t>示例：</w:t>
      </w:r>
    </w:p>
    <w:p w14:paraId="7146858F">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既往史：平素健康状况一般，“慢性湿疹”病史10+年，2019年体检时发现子宫肌瘤（大小约1 cm）；否认“冠心病、高血压、糖尿病”等病史。否认“乙肝、结核”等传染病史。预防接种史不详。否认手术史及重大外伤史。</w:t>
      </w:r>
    </w:p>
    <w:p w14:paraId="397EA65A">
      <w:pPr>
        <w:rPr>
          <w:rFonts w:ascii="Times New Roman" w:hAnsi="Times New Roman" w:eastAsia="宋体" w:cs="Times New Roman"/>
          <w:color w:val="FF0000"/>
        </w:rPr>
      </w:pPr>
    </w:p>
    <w:p w14:paraId="4AC097A5">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598683AF">
      <w:pPr>
        <w:ind w:firstLine="420" w:firstLineChars="200"/>
        <w:rPr>
          <w:rFonts w:ascii="Times New Roman" w:hAnsi="Times New Roman" w:eastAsia="宋体" w:cs="Times New Roman"/>
          <w:color w:val="FF0000"/>
        </w:rPr>
      </w:pPr>
      <w:r>
        <w:rPr>
          <w:rFonts w:ascii="Times New Roman" w:hAnsi="Times New Roman" w:eastAsia="宋体" w:cs="Times New Roman"/>
          <w:color w:val="FF0000"/>
        </w:rPr>
        <w:t>既往史是指患者过去的健康和疾病情况。内容包括既往一般健康状况、疾病史、传染病史、预防接种史、手术外伤史、输血史、食物或药物过敏史及过敏症状等。</w:t>
      </w:r>
    </w:p>
    <w:p w14:paraId="1876BC40">
      <w:pPr>
        <w:ind w:firstLine="480" w:firstLineChars="200"/>
        <w:rPr>
          <w:rFonts w:ascii="Times New Roman" w:hAnsi="Times New Roman" w:eastAsia="宋体" w:cs="Times New Roman"/>
          <w:color w:val="0000FF"/>
          <w:sz w:val="24"/>
        </w:rPr>
      </w:pPr>
    </w:p>
    <w:p w14:paraId="1E209767">
      <w:pPr>
        <w:rPr>
          <w:rFonts w:ascii="Times New Roman" w:hAnsi="Times New Roman" w:eastAsia="宋体" w:cs="Times New Roman"/>
          <w:bCs/>
          <w:sz w:val="24"/>
        </w:rPr>
      </w:pPr>
      <w:r>
        <w:rPr>
          <w:rFonts w:ascii="Times New Roman" w:hAnsi="Times New Roman" w:eastAsia="宋体" w:cs="Times New Roman"/>
          <w:bCs/>
          <w:sz w:val="24"/>
        </w:rPr>
        <w:t>④个人史、过敏史、月经史（女性）、婚育史、家族史等。</w:t>
      </w:r>
    </w:p>
    <w:p w14:paraId="635D0E14">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示例：</w:t>
      </w:r>
    </w:p>
    <w:p w14:paraId="03F1EFEF">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个人史及过敏史：出生并长期居住于四川省某地市，否认烟酒等不良嗜好；花生、鳕鱼过敏，否认其他食物、药物过敏史。</w:t>
      </w:r>
    </w:p>
    <w:p w14:paraId="738E4F0E">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月经及婚育史：12岁初潮，经期5~7天，周期27~31天，量中，色红；LMP：2024年01月25日，8天净，量中，色红，小腹胀痛可忍，余无特殊。已婚，G2P0+2，2018年因孕8+周胚胎停育于当地医院行清宫术。2020年行输卵管造影提示双侧输卵管通畅。2023年12月移植后孕7+周胚胎停育行清宫术，胚胎染色体为13-三体。</w:t>
      </w:r>
    </w:p>
    <w:p w14:paraId="357BC4DF">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家族史：父母体健，否认家族遗传病史。</w:t>
      </w:r>
    </w:p>
    <w:p w14:paraId="683C715B">
      <w:pPr>
        <w:rPr>
          <w:rFonts w:ascii="Times New Roman" w:hAnsi="Times New Roman" w:eastAsia="宋体" w:cs="Times New Roman"/>
          <w:bCs/>
          <w:sz w:val="24"/>
        </w:rPr>
      </w:pPr>
    </w:p>
    <w:p w14:paraId="71D5A1CC">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2BAD04F9">
      <w:pPr>
        <w:rPr>
          <w:rFonts w:ascii="Times New Roman" w:hAnsi="Times New Roman" w:eastAsia="宋体" w:cs="Times New Roman"/>
          <w:color w:val="FF0000"/>
        </w:rPr>
      </w:pPr>
      <w:r>
        <w:rPr>
          <w:rFonts w:ascii="Times New Roman" w:hAnsi="Times New Roman" w:eastAsia="宋体" w:cs="Times New Roman"/>
          <w:color w:val="FF0000"/>
        </w:rPr>
        <w:t>1.个人史：记录出生地及长期居留地，生活习惯及有无烟、酒、药物等嗜好，职业与工作条件及有无工业毒物、粉尘、放射性物质接触史，有无冶游史。</w:t>
      </w:r>
    </w:p>
    <w:p w14:paraId="27A493A8">
      <w:pPr>
        <w:rPr>
          <w:rFonts w:ascii="Times New Roman" w:hAnsi="Times New Roman" w:eastAsia="宋体" w:cs="Times New Roman"/>
          <w:color w:val="FF0000"/>
        </w:rPr>
      </w:pPr>
      <w:r>
        <w:rPr>
          <w:rFonts w:ascii="Times New Roman" w:hAnsi="Times New Roman" w:eastAsia="宋体" w:cs="Times New Roman"/>
          <w:color w:val="FF0000"/>
        </w:rPr>
        <w:t>2.婚育史、月经史：婚姻状况、结婚年龄、配偶健康状况、有无子女等。女性患者记录经带胎产史，初潮年龄、行经期天数、间隔天数、末次月经时间(或闭经年龄)，月经量、痛经及生育等情况。</w:t>
      </w:r>
    </w:p>
    <w:p w14:paraId="6FC16DA5">
      <w:pPr>
        <w:rPr>
          <w:rFonts w:ascii="Times New Roman" w:hAnsi="Times New Roman" w:eastAsia="宋体" w:cs="Times New Roman"/>
          <w:color w:val="FF0000"/>
        </w:rPr>
      </w:pPr>
      <w:r>
        <w:rPr>
          <w:rFonts w:ascii="Times New Roman" w:hAnsi="Times New Roman" w:eastAsia="宋体" w:cs="Times New Roman"/>
          <w:color w:val="FF0000"/>
        </w:rPr>
        <w:t>3.家族史：父母、兄弟、姐妹健康状况，有无与患者类似疾病，有无家族遗传倾向的疾病。</w:t>
      </w:r>
    </w:p>
    <w:p w14:paraId="6A983612">
      <w:pPr>
        <w:ind w:firstLine="420" w:firstLineChars="200"/>
        <w:rPr>
          <w:rFonts w:ascii="Times New Roman" w:hAnsi="Times New Roman" w:eastAsia="宋体" w:cs="Times New Roman"/>
          <w:color w:val="FF0000"/>
        </w:rPr>
      </w:pPr>
    </w:p>
    <w:p w14:paraId="6C5F365D">
      <w:pPr>
        <w:rPr>
          <w:rFonts w:ascii="Times New Roman" w:hAnsi="Times New Roman" w:eastAsia="宋体" w:cs="Times New Roman"/>
          <w:bCs/>
          <w:sz w:val="24"/>
        </w:rPr>
      </w:pPr>
      <w:r>
        <w:rPr>
          <w:rFonts w:ascii="Times New Roman" w:hAnsi="Times New Roman" w:eastAsia="宋体" w:cs="Times New Roman"/>
          <w:bCs/>
          <w:sz w:val="24"/>
        </w:rPr>
        <w:t>⑤四诊信息采集及中医内涵</w:t>
      </w:r>
    </w:p>
    <w:p w14:paraId="1BB58838">
      <w:pPr>
        <w:rPr>
          <w:rFonts w:ascii="Times New Roman" w:hAnsi="Times New Roman" w:eastAsia="宋体" w:cs="Times New Roman"/>
          <w:bCs/>
          <w:sz w:val="24"/>
        </w:rPr>
      </w:pPr>
    </w:p>
    <w:p w14:paraId="1E379EB1">
      <w:pPr>
        <w:rPr>
          <w:rFonts w:ascii="Times New Roman" w:hAnsi="Times New Roman" w:eastAsia="宋体" w:cs="Times New Roman"/>
          <w:color w:val="FF0000"/>
        </w:rPr>
      </w:pPr>
      <w:r>
        <w:rPr>
          <w:rFonts w:ascii="Times New Roman" w:hAnsi="Times New Roman" w:eastAsia="宋体" w:cs="Times New Roman"/>
          <w:color w:val="FF0000"/>
        </w:rPr>
        <w:t>要点须知：</w:t>
      </w:r>
    </w:p>
    <w:p w14:paraId="56CFB7AD">
      <w:pPr>
        <w:rPr>
          <w:rFonts w:ascii="Times New Roman" w:hAnsi="Times New Roman" w:eastAsia="宋体" w:cs="Times New Roman"/>
          <w:color w:val="FF0000"/>
        </w:rPr>
      </w:pPr>
      <w:r>
        <w:rPr>
          <w:rFonts w:ascii="Times New Roman" w:hAnsi="Times New Roman" w:eastAsia="宋体" w:cs="Times New Roman"/>
          <w:color w:val="FF0000"/>
        </w:rPr>
        <w:t>1.鼓励采用现代化技术方式方法采集患者四诊信息，如可穿戴设备采集脉诊信息、高清摄像设备采集舌诊信息等；</w:t>
      </w:r>
    </w:p>
    <w:p w14:paraId="79C65DB5">
      <w:pPr>
        <w:rPr>
          <w:rFonts w:ascii="Times New Roman" w:hAnsi="Times New Roman" w:eastAsia="宋体" w:cs="Times New Roman"/>
          <w:color w:val="FF0000"/>
        </w:rPr>
      </w:pPr>
      <w:r>
        <w:rPr>
          <w:rFonts w:ascii="Times New Roman" w:hAnsi="Times New Roman" w:eastAsia="宋体" w:cs="Times New Roman"/>
          <w:color w:val="FF0000"/>
        </w:rPr>
        <w:t>2.舌象图片要求；</w:t>
      </w:r>
    </w:p>
    <w:p w14:paraId="4A05DE3E">
      <w:pPr>
        <w:rPr>
          <w:rFonts w:ascii="Times New Roman" w:hAnsi="Times New Roman" w:eastAsia="宋体" w:cs="Times New Roman"/>
          <w:color w:val="FF0000"/>
        </w:rPr>
      </w:pPr>
      <w:r>
        <w:rPr>
          <w:rFonts w:ascii="Times New Roman" w:hAnsi="Times New Roman" w:eastAsia="宋体" w:cs="Times New Roman"/>
          <w:color w:val="FF0000"/>
        </w:rPr>
        <w:t>3.正面、自然光下拍照；</w:t>
      </w:r>
    </w:p>
    <w:p w14:paraId="5E2BC32B">
      <w:pPr>
        <w:rPr>
          <w:rFonts w:ascii="Times New Roman" w:hAnsi="Times New Roman" w:eastAsia="宋体" w:cs="Times New Roman"/>
          <w:color w:val="FF0000"/>
        </w:rPr>
      </w:pPr>
      <w:r>
        <w:rPr>
          <w:rFonts w:ascii="Times New Roman" w:hAnsi="Times New Roman" w:eastAsia="宋体" w:cs="Times New Roman"/>
          <w:color w:val="FF0000"/>
        </w:rPr>
        <w:t>4.上不超过鼻尖，舌体放松，暴露至舌根（短缩舌除外），尽量使舌体充分暴露；</w:t>
      </w:r>
    </w:p>
    <w:p w14:paraId="4FEB2FDF">
      <w:pPr>
        <w:rPr>
          <w:rFonts w:ascii="Times New Roman" w:hAnsi="Times New Roman" w:eastAsia="宋体" w:cs="Times New Roman"/>
          <w:color w:val="FF0000"/>
        </w:rPr>
      </w:pPr>
      <w:r>
        <w:rPr>
          <w:rFonts w:ascii="Times New Roman" w:hAnsi="Times New Roman" w:eastAsia="宋体" w:cs="Times New Roman"/>
          <w:color w:val="FF0000"/>
        </w:rPr>
        <w:t>5.不可自拍，拍摄时关闭相机一切特效、美颜、滤镜；</w:t>
      </w:r>
    </w:p>
    <w:p w14:paraId="0C986365">
      <w:pPr>
        <w:rPr>
          <w:rFonts w:ascii="Times New Roman" w:hAnsi="Times New Roman" w:eastAsia="宋体" w:cs="Times New Roman"/>
          <w:color w:val="FF0000"/>
        </w:rPr>
      </w:pPr>
      <w:r>
        <w:rPr>
          <w:rFonts w:ascii="Times New Roman" w:hAnsi="Times New Roman" w:eastAsia="宋体" w:cs="Times New Roman"/>
          <w:color w:val="FF0000"/>
        </w:rPr>
        <w:t>6.注意患者隐私权，除非病例报告必要内容，其他内容均要为患者保密；</w:t>
      </w:r>
    </w:p>
    <w:p w14:paraId="4D29C3F3">
      <w:pPr>
        <w:rPr>
          <w:rFonts w:ascii="Times New Roman" w:hAnsi="Times New Roman" w:eastAsia="宋体" w:cs="Times New Roman"/>
          <w:color w:val="FF0000"/>
        </w:rPr>
      </w:pPr>
      <w:r>
        <w:rPr>
          <w:rFonts w:ascii="Times New Roman" w:hAnsi="Times New Roman" w:eastAsia="宋体" w:cs="Times New Roman"/>
          <w:color w:val="FF0000"/>
        </w:rPr>
        <w:t>7.各专业特殊重要四诊支撑可酌情备注，但要保护隐私。（如声音嘶哑治疗前后的录音、录像的比对等）；</w:t>
      </w:r>
    </w:p>
    <w:p w14:paraId="564F2C33">
      <w:pPr>
        <w:rPr>
          <w:rFonts w:ascii="Times New Roman" w:hAnsi="Times New Roman" w:eastAsia="宋体" w:cs="Times New Roman"/>
          <w:color w:val="FF0000"/>
        </w:rPr>
      </w:pPr>
      <w:r>
        <w:rPr>
          <w:rFonts w:ascii="Times New Roman" w:hAnsi="Times New Roman" w:eastAsia="宋体" w:cs="Times New Roman"/>
          <w:color w:val="FF0000"/>
        </w:rPr>
        <w:t>8.中医内涵突出，关注四诊信息及中医十问歌相关内容。</w:t>
      </w:r>
    </w:p>
    <w:p w14:paraId="365F8216">
      <w:pPr>
        <w:rPr>
          <w:rFonts w:ascii="Times New Roman" w:hAnsi="Times New Roman" w:eastAsia="宋体" w:cs="Times New Roman"/>
          <w:color w:val="FF0000"/>
        </w:rPr>
      </w:pPr>
    </w:p>
    <w:p w14:paraId="090E4C81">
      <w:pPr>
        <w:rPr>
          <w:rFonts w:ascii="Times New Roman" w:hAnsi="Times New Roman" w:eastAsia="宋体" w:cs="Times New Roman"/>
          <w:b/>
          <w:bCs/>
          <w:sz w:val="24"/>
        </w:rPr>
      </w:pPr>
      <w:r>
        <w:rPr>
          <w:rFonts w:ascii="Times New Roman" w:hAnsi="Times New Roman" w:eastAsia="宋体" w:cs="Times New Roman"/>
          <w:b/>
          <w:bCs/>
          <w:sz w:val="24"/>
        </w:rPr>
        <w:t>2.体格检查及专科检查</w:t>
      </w:r>
    </w:p>
    <w:p w14:paraId="0499A16C">
      <w:pPr>
        <w:ind w:firstLine="480" w:firstLineChars="200"/>
        <w:rPr>
          <w:rFonts w:ascii="Times New Roman" w:hAnsi="Times New Roman" w:eastAsia="宋体" w:cs="Times New Roman"/>
          <w:sz w:val="24"/>
        </w:rPr>
      </w:pPr>
      <w:r>
        <w:rPr>
          <w:rFonts w:ascii="Times New Roman" w:hAnsi="Times New Roman" w:eastAsia="宋体" w:cs="Times New Roman"/>
          <w:sz w:val="24"/>
        </w:rPr>
        <w:t>根据实际诊疗过程酌情记录与疾病相关的查体内容。</w:t>
      </w:r>
    </w:p>
    <w:p w14:paraId="14D25453">
      <w:pPr>
        <w:rPr>
          <w:rFonts w:ascii="Times New Roman" w:hAnsi="Times New Roman" w:eastAsia="宋体" w:cs="Times New Roman"/>
          <w:color w:val="0000FF"/>
          <w:sz w:val="24"/>
        </w:rPr>
      </w:pPr>
      <w:r>
        <w:rPr>
          <w:rFonts w:ascii="Times New Roman" w:hAnsi="Times New Roman" w:eastAsia="宋体" w:cs="Times New Roman"/>
          <w:color w:val="0000FF"/>
          <w:sz w:val="24"/>
        </w:rPr>
        <w:t>示例：外院妇科检查：外阴：已婚未产式；阴道：畅；宫颈：常大，光滑；子宫：前位，常大，活动，质中，无压痛；双附件未扪及异常。</w:t>
      </w:r>
    </w:p>
    <w:p w14:paraId="63F9AE72">
      <w:pPr>
        <w:rPr>
          <w:rFonts w:ascii="Times New Roman" w:hAnsi="Times New Roman" w:eastAsia="宋体" w:cs="Times New Roman"/>
          <w:color w:val="0000FF"/>
          <w:sz w:val="24"/>
        </w:rPr>
      </w:pPr>
    </w:p>
    <w:p w14:paraId="7CA63163">
      <w:pPr>
        <w:rPr>
          <w:rFonts w:ascii="Times New Roman" w:hAnsi="Times New Roman" w:eastAsia="宋体" w:cs="Times New Roman"/>
          <w:color w:val="FF0000"/>
        </w:rPr>
      </w:pPr>
      <w:r>
        <w:rPr>
          <w:rFonts w:ascii="Times New Roman" w:hAnsi="Times New Roman" w:eastAsia="宋体" w:cs="Times New Roman"/>
          <w:color w:val="FF0000"/>
        </w:rPr>
        <w:t>要点须知：</w:t>
      </w:r>
    </w:p>
    <w:p w14:paraId="0EC1AB56">
      <w:pPr>
        <w:rPr>
          <w:rFonts w:ascii="Times New Roman" w:hAnsi="Times New Roman" w:eastAsia="宋体" w:cs="Times New Roman"/>
          <w:color w:val="FF0000"/>
        </w:rPr>
      </w:pPr>
      <w:r>
        <w:rPr>
          <w:rFonts w:ascii="Times New Roman" w:hAnsi="Times New Roman" w:eastAsia="宋体" w:cs="Times New Roman"/>
          <w:color w:val="FF0000"/>
        </w:rPr>
        <w:t>1.体格检查及专科检查部分需注意：</w:t>
      </w:r>
    </w:p>
    <w:p w14:paraId="36D6CC33">
      <w:pPr>
        <w:rPr>
          <w:rFonts w:ascii="Times New Roman" w:hAnsi="Times New Roman" w:eastAsia="宋体" w:cs="Times New Roman"/>
          <w:color w:val="FF0000"/>
        </w:rPr>
      </w:pPr>
      <w:r>
        <w:rPr>
          <w:rFonts w:ascii="Times New Roman" w:hAnsi="Times New Roman" w:eastAsia="宋体" w:cs="Times New Roman"/>
          <w:color w:val="FF0000"/>
        </w:rPr>
        <w:t>1.1需根据不同的疾病进行针对性的查体。如心肺听诊、肌肉骨关节检查、神经体统查体、妇科查体等。</w:t>
      </w:r>
    </w:p>
    <w:p w14:paraId="69647EB7">
      <w:pPr>
        <w:rPr>
          <w:rFonts w:ascii="Times New Roman" w:hAnsi="Times New Roman" w:eastAsia="宋体" w:cs="Times New Roman"/>
          <w:color w:val="FF0000"/>
        </w:rPr>
      </w:pPr>
      <w:r>
        <w:rPr>
          <w:rFonts w:ascii="Times New Roman" w:hAnsi="Times New Roman" w:eastAsia="宋体" w:cs="Times New Roman"/>
          <w:color w:val="FF0000"/>
        </w:rPr>
        <w:t>1.2如涉及人体照片图的，要求如下：</w:t>
      </w:r>
    </w:p>
    <w:p w14:paraId="4F5E298A">
      <w:pPr>
        <w:rPr>
          <w:rFonts w:ascii="Times New Roman" w:hAnsi="Times New Roman" w:eastAsia="宋体" w:cs="Times New Roman"/>
          <w:color w:val="FF0000"/>
        </w:rPr>
      </w:pPr>
      <w:r>
        <w:rPr>
          <w:rFonts w:ascii="Times New Roman" w:hAnsi="Times New Roman" w:eastAsia="宋体" w:cs="Times New Roman"/>
          <w:color w:val="FF0000"/>
        </w:rPr>
        <w:t>要求选择最能反映病例特征的图片，并注意保护患者隐私权和肖像权。</w:t>
      </w:r>
    </w:p>
    <w:p w14:paraId="6A6C8506">
      <w:pPr>
        <w:rPr>
          <w:rFonts w:ascii="Times New Roman" w:hAnsi="Times New Roman" w:eastAsia="宋体" w:cs="Times New Roman"/>
          <w:color w:val="FF0000"/>
        </w:rPr>
      </w:pPr>
      <w:r>
        <w:rPr>
          <w:rFonts w:ascii="Times New Roman" w:hAnsi="Times New Roman" w:eastAsia="宋体" w:cs="Times New Roman"/>
          <w:color w:val="FF0000"/>
        </w:rPr>
        <w:t>1.2.1 眼部疾病需左右两眼同时显露，只拍摄眉毛、双眼、鼻梁即可，其他部分不得暴露。</w:t>
      </w:r>
    </w:p>
    <w:p w14:paraId="6038149D">
      <w:pPr>
        <w:rPr>
          <w:rFonts w:ascii="Times New Roman" w:hAnsi="Times New Roman" w:eastAsia="宋体" w:cs="Times New Roman"/>
          <w:color w:val="FF0000"/>
        </w:rPr>
      </w:pPr>
      <w:r>
        <w:rPr>
          <w:rFonts w:ascii="Times New Roman" w:hAnsi="Times New Roman" w:eastAsia="宋体" w:cs="Times New Roman"/>
          <w:color w:val="FF0000"/>
        </w:rPr>
        <w:t>1.2.2 其他确需露出患者面部的照片，双眼必须用■■遮蔽。</w:t>
      </w:r>
    </w:p>
    <w:p w14:paraId="627BB847">
      <w:pPr>
        <w:rPr>
          <w:rFonts w:ascii="Times New Roman" w:hAnsi="Times New Roman" w:eastAsia="宋体" w:cs="Times New Roman"/>
          <w:color w:val="FF0000"/>
        </w:rPr>
      </w:pPr>
      <w:r>
        <w:rPr>
          <w:rFonts w:ascii="Times New Roman" w:hAnsi="Times New Roman" w:eastAsia="宋体" w:cs="Times New Roman"/>
          <w:color w:val="FF0000"/>
        </w:rPr>
        <w:t>1.2.3 四肢照片应包括患病部位及上下两个关节，还应有对侧肢体对照。</w:t>
      </w:r>
    </w:p>
    <w:p w14:paraId="3F59758D">
      <w:pPr>
        <w:rPr>
          <w:rFonts w:ascii="Times New Roman" w:hAnsi="Times New Roman" w:eastAsia="宋体" w:cs="Times New Roman"/>
          <w:color w:val="FF0000"/>
        </w:rPr>
      </w:pPr>
      <w:r>
        <w:rPr>
          <w:rFonts w:ascii="Times New Roman" w:hAnsi="Times New Roman" w:eastAsia="宋体" w:cs="Times New Roman"/>
          <w:color w:val="FF0000"/>
        </w:rPr>
        <w:t>1.2.4躯干照片应能鉴别患病部位和上下左右方向。</w:t>
      </w:r>
    </w:p>
    <w:p w14:paraId="65FF826E">
      <w:pPr>
        <w:rPr>
          <w:rFonts w:ascii="Times New Roman" w:hAnsi="Times New Roman" w:eastAsia="宋体" w:cs="Times New Roman"/>
          <w:color w:val="FF0000"/>
        </w:rPr>
      </w:pPr>
      <w:r>
        <w:rPr>
          <w:rFonts w:ascii="Times New Roman" w:hAnsi="Times New Roman" w:eastAsia="宋体" w:cs="Times New Roman"/>
          <w:color w:val="FF0000"/>
        </w:rPr>
        <w:t>1.2.5 皮肤疾病照片必须包含部分正常皮肤作为对照。</w:t>
      </w:r>
    </w:p>
    <w:p w14:paraId="163B987F">
      <w:pPr>
        <w:rPr>
          <w:rFonts w:ascii="Times New Roman" w:hAnsi="Times New Roman" w:eastAsia="宋体" w:cs="Times New Roman"/>
          <w:color w:val="FF0000"/>
        </w:rPr>
      </w:pPr>
      <w:r>
        <w:rPr>
          <w:rFonts w:ascii="Times New Roman" w:hAnsi="Times New Roman" w:eastAsia="宋体" w:cs="Times New Roman"/>
          <w:color w:val="FF0000"/>
        </w:rPr>
        <w:t>2.体格检查，应当按照系统循序进行书写。内容包括体温、脉搏、呼吸、血压，一般情况皮肤、黏膜，全身浅表淋巴结，头部及其器官，颈部，胸部(胸廓、肺部、心脏、血管)，腹部(肝、脾等)，直肠肛门，外生殖器，脊柱，四肢，神经系统等。着重记录本病相关的阳性体征及具有鉴别意义的隐性体征。</w:t>
      </w:r>
    </w:p>
    <w:p w14:paraId="0755EE25">
      <w:pPr>
        <w:rPr>
          <w:rFonts w:ascii="Times New Roman" w:hAnsi="Times New Roman" w:eastAsia="宋体" w:cs="Times New Roman"/>
          <w:color w:val="FF0000"/>
        </w:rPr>
      </w:pPr>
      <w:r>
        <w:rPr>
          <w:rFonts w:ascii="Times New Roman" w:hAnsi="Times New Roman" w:eastAsia="宋体" w:cs="Times New Roman"/>
          <w:color w:val="FF0000"/>
        </w:rPr>
        <w:t>3.专科情况，应当根据专科需要记录专科特殊情况。</w:t>
      </w:r>
    </w:p>
    <w:p w14:paraId="069DC927">
      <w:pPr>
        <w:rPr>
          <w:rFonts w:ascii="Times New Roman" w:hAnsi="Times New Roman" w:eastAsia="宋体" w:cs="Times New Roman"/>
          <w:color w:val="FF0000"/>
        </w:rPr>
      </w:pPr>
    </w:p>
    <w:p w14:paraId="6E3A8A1F">
      <w:pPr>
        <w:rPr>
          <w:rFonts w:ascii="Times New Roman" w:hAnsi="Times New Roman" w:eastAsia="宋体" w:cs="Times New Roman"/>
          <w:b/>
          <w:bCs/>
          <w:sz w:val="24"/>
        </w:rPr>
      </w:pPr>
      <w:r>
        <w:rPr>
          <w:rFonts w:ascii="Times New Roman" w:hAnsi="Times New Roman" w:eastAsia="宋体" w:cs="Times New Roman"/>
          <w:b/>
          <w:bCs/>
          <w:sz w:val="24"/>
        </w:rPr>
        <w:t>3.辅助检查</w:t>
      </w:r>
    </w:p>
    <w:p w14:paraId="56D1C6DD">
      <w:pPr>
        <w:ind w:firstLine="480" w:firstLineChars="200"/>
        <w:rPr>
          <w:rFonts w:ascii="Times New Roman" w:hAnsi="Times New Roman" w:eastAsia="宋体" w:cs="Times New Roman"/>
          <w:sz w:val="24"/>
        </w:rPr>
      </w:pPr>
      <w:r>
        <w:rPr>
          <w:rFonts w:ascii="Times New Roman" w:hAnsi="Times New Roman" w:eastAsia="宋体" w:cs="Times New Roman"/>
          <w:sz w:val="24"/>
        </w:rPr>
        <w:t>提供对疾病诊断及制定治疗方案起关键作用的检查，关键检查结果需提供图片或视频。</w:t>
      </w:r>
    </w:p>
    <w:p w14:paraId="48C6F303">
      <w:pPr>
        <w:rPr>
          <w:rFonts w:ascii="Times New Roman" w:hAnsi="Times New Roman" w:eastAsia="宋体" w:cs="Times New Roman"/>
          <w:color w:val="0000FF"/>
          <w:sz w:val="24"/>
        </w:rPr>
      </w:pPr>
      <w:r>
        <w:rPr>
          <w:rFonts w:ascii="Times New Roman" w:hAnsi="Times New Roman" w:eastAsia="宋体" w:cs="Times New Roman"/>
          <w:color w:val="0000FF"/>
          <w:sz w:val="24"/>
        </w:rPr>
        <w:t>示例：</w:t>
      </w:r>
    </w:p>
    <w:p w14:paraId="1365950E">
      <w:pPr>
        <w:rPr>
          <w:rFonts w:ascii="Times New Roman" w:hAnsi="Times New Roman" w:eastAsia="宋体" w:cs="Times New Roman"/>
          <w:color w:val="0000FF"/>
          <w:sz w:val="24"/>
        </w:rPr>
      </w:pPr>
      <w:r>
        <w:rPr>
          <w:rFonts w:ascii="Times New Roman" w:hAnsi="Times New Roman" w:eastAsia="宋体" w:cs="Times New Roman"/>
          <w:color w:val="0000FF"/>
          <w:sz w:val="24"/>
        </w:rPr>
        <w:t>1.（2023-03-10外院）性激素：PRL：5.6 ng/mL； FSH： 8.0 IU/L； LH： 5.0 IU/L； E2： 54 pg/mL； P： 0.64 ng/mL； T： 0.17 nmol/L； AMH： 4.83 ng/mL； 甲状腺功能正常。</w:t>
      </w:r>
    </w:p>
    <w:p w14:paraId="3B140132">
      <w:pPr>
        <w:rPr>
          <w:rFonts w:ascii="Times New Roman" w:hAnsi="Times New Roman" w:eastAsia="宋体" w:cs="Times New Roman"/>
          <w:color w:val="0000FF"/>
          <w:sz w:val="24"/>
        </w:rPr>
      </w:pPr>
      <w:r>
        <w:rPr>
          <w:rFonts w:ascii="Times New Roman" w:hAnsi="Times New Roman" w:eastAsia="宋体" w:cs="Times New Roman"/>
          <w:color w:val="0000FF"/>
          <w:sz w:val="24"/>
        </w:rPr>
        <w:t>2.（2023-03-29四川某医院）TORCH：单纯疱疹病毒型IgM：0.94 PEI U/mL（可疑）；胰岛素释放试验：空腹INS：28.32 μIU/mL↑，0.5h INS：173.46 μIU/mL↑，1h INS：207.43 μIU/mL↑，2h INS：125.2 μIU/mL↑，3h INS：57.71 μIU/mL↑；不孕不育抗体、衣原体、肿标CA125（-）。</w:t>
      </w:r>
    </w:p>
    <w:p w14:paraId="097E9D1B">
      <w:pPr>
        <w:rPr>
          <w:rFonts w:ascii="Times New Roman" w:hAnsi="Times New Roman" w:eastAsia="宋体" w:cs="Times New Roman"/>
          <w:color w:val="0000FF"/>
          <w:sz w:val="24"/>
        </w:rPr>
      </w:pPr>
      <w:r>
        <w:rPr>
          <w:rFonts w:ascii="Times New Roman" w:hAnsi="Times New Roman" w:eastAsia="宋体" w:cs="Times New Roman"/>
          <w:color w:val="0000FF"/>
          <w:sz w:val="24"/>
        </w:rPr>
        <w:t>3.（2024-01-12四川某院）阴道彩超：子宫3.7 cm×4.4 cm×4.8 cm，内膜0.3 cm（单层），子宫内膜回声欠均匀，子宫肌瘤（左前壁1.7 cm，右前壁1.2 cm），右卵巢上强回声（钙化灶）？</w:t>
      </w:r>
    </w:p>
    <w:p w14:paraId="595DC24A">
      <w:pPr>
        <w:rPr>
          <w:rFonts w:ascii="Times New Roman" w:hAnsi="Times New Roman" w:eastAsia="宋体" w:cs="Times New Roman"/>
          <w:color w:val="0000FF"/>
          <w:sz w:val="24"/>
        </w:rPr>
      </w:pPr>
    </w:p>
    <w:p w14:paraId="7CF37489">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22CA9BF0">
      <w:pPr>
        <w:rPr>
          <w:rFonts w:ascii="Times New Roman" w:hAnsi="Times New Roman" w:eastAsia="宋体" w:cs="Times New Roman"/>
          <w:color w:val="FF0000"/>
        </w:rPr>
      </w:pPr>
      <w:r>
        <w:rPr>
          <w:rFonts w:ascii="Times New Roman" w:hAnsi="Times New Roman" w:eastAsia="宋体" w:cs="Times New Roman"/>
          <w:color w:val="FF0000"/>
        </w:rPr>
        <w:t>1.涉及医学检查、病理检查、放射影像、超声检查、医学功能检查、内镜检查的，应附上原始检查结果；</w:t>
      </w:r>
    </w:p>
    <w:p w14:paraId="51CD1CE1">
      <w:pPr>
        <w:rPr>
          <w:rFonts w:ascii="Times New Roman" w:hAnsi="Times New Roman" w:eastAsia="宋体" w:cs="Times New Roman"/>
          <w:color w:val="FF0000"/>
        </w:rPr>
      </w:pPr>
      <w:r>
        <w:rPr>
          <w:rFonts w:ascii="Times New Roman" w:hAnsi="Times New Roman" w:eastAsia="宋体" w:cs="Times New Roman"/>
          <w:color w:val="FF0000"/>
        </w:rPr>
        <w:t>2.与本次疾病相关的主要检查及其结果（血常规，尿常规，便常规，肝肾功，血糖，血脂，凝血功能，糖化血红蛋白，甲状腺功能，肿瘤标记物，自身免疫抗体谱，胸部CT，腹部CT，盆腔CT，腹部超声，颈动脉超声，头颅核磁，颈椎核磁，腰椎核磁等）。应分类按检查时间顺序记录检查结果，如系在其他医疗机构所作检查，需隐去医疗机构名称信息，用“某医院”代替（为保护患者隐私）。应当写明检查号（检查日期）。</w:t>
      </w:r>
    </w:p>
    <w:p w14:paraId="44D9C3A6">
      <w:pPr>
        <w:rPr>
          <w:rFonts w:ascii="Times New Roman" w:hAnsi="Times New Roman" w:eastAsia="宋体" w:cs="Times New Roman"/>
          <w:color w:val="FF0000"/>
        </w:rPr>
      </w:pPr>
    </w:p>
    <w:p w14:paraId="71337DF6">
      <w:pPr>
        <w:rPr>
          <w:rFonts w:ascii="Times New Roman" w:hAnsi="Times New Roman" w:eastAsia="宋体" w:cs="Times New Roman"/>
          <w:b/>
          <w:bCs/>
          <w:sz w:val="24"/>
        </w:rPr>
      </w:pPr>
      <w:r>
        <w:rPr>
          <w:rFonts w:ascii="Times New Roman" w:hAnsi="Times New Roman" w:eastAsia="宋体" w:cs="Times New Roman"/>
          <w:b/>
          <w:bCs/>
          <w:sz w:val="24"/>
        </w:rPr>
        <w:t>4.中医诊断</w:t>
      </w:r>
    </w:p>
    <w:p w14:paraId="5F742B38">
      <w:pPr>
        <w:rPr>
          <w:rFonts w:ascii="Times New Roman" w:hAnsi="Times New Roman" w:eastAsia="宋体" w:cs="Times New Roman"/>
          <w:bCs/>
          <w:sz w:val="24"/>
        </w:rPr>
      </w:pPr>
      <w:r>
        <w:rPr>
          <w:rFonts w:ascii="Times New Roman" w:hAnsi="Times New Roman" w:eastAsia="宋体" w:cs="Times New Roman"/>
          <w:bCs/>
          <w:sz w:val="24"/>
        </w:rPr>
        <w:t>①病名及证候诊断</w:t>
      </w:r>
    </w:p>
    <w:p w14:paraId="06AAF012">
      <w:pPr>
        <w:rPr>
          <w:rFonts w:ascii="Times New Roman" w:hAnsi="Times New Roman" w:eastAsia="宋体" w:cs="Times New Roman"/>
          <w:color w:val="0000FF"/>
          <w:sz w:val="24"/>
        </w:rPr>
      </w:pPr>
      <w:r>
        <w:rPr>
          <w:rFonts w:ascii="Times New Roman" w:hAnsi="Times New Roman" w:eastAsia="宋体" w:cs="Times New Roman"/>
          <w:color w:val="0000FF"/>
          <w:sz w:val="24"/>
        </w:rPr>
        <w:t>示例：不孕症；癥瘕（脾肾不足，肝郁血瘀证）。</w:t>
      </w:r>
    </w:p>
    <w:p w14:paraId="66C88527">
      <w:pPr>
        <w:rPr>
          <w:rFonts w:ascii="Times New Roman" w:hAnsi="Times New Roman" w:eastAsia="宋体" w:cs="Times New Roman"/>
          <w:color w:val="0000FF"/>
          <w:sz w:val="24"/>
        </w:rPr>
      </w:pPr>
    </w:p>
    <w:p w14:paraId="35A92639">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352C389E">
      <w:pPr>
        <w:rPr>
          <w:rFonts w:ascii="Times New Roman" w:hAnsi="Times New Roman" w:eastAsia="宋体" w:cs="Times New Roman"/>
          <w:color w:val="FF0000"/>
        </w:rPr>
      </w:pPr>
      <w:r>
        <w:rPr>
          <w:rFonts w:ascii="Times New Roman" w:hAnsi="Times New Roman" w:eastAsia="宋体" w:cs="Times New Roman"/>
          <w:color w:val="FF0000"/>
        </w:rPr>
        <w:t>1.医案的病名、证型请参考《中医病证分类与代码》（GBT 15657-2021）；</w:t>
      </w:r>
      <w:r>
        <w:rPr>
          <w:rFonts w:ascii="Times New Roman" w:hAnsi="Times New Roman" w:eastAsia="宋体" w:cs="Times New Roman"/>
          <w:color w:val="FF0000"/>
        </w:rPr>
        <w:br w:type="textWrapping"/>
      </w:r>
      <w:r>
        <w:rPr>
          <w:rFonts w:ascii="Times New Roman" w:hAnsi="Times New Roman" w:eastAsia="宋体" w:cs="Times New Roman"/>
          <w:color w:val="FF0000"/>
        </w:rPr>
        <w:t>2.诊断标准建议参考最新的相关标准（国家标准、行业标准、中华中医药学会团体标准以及专家共识均可）或权威教材，并注明出处；</w:t>
      </w:r>
      <w:r>
        <w:rPr>
          <w:rFonts w:ascii="Times New Roman" w:hAnsi="Times New Roman" w:eastAsia="宋体" w:cs="Times New Roman"/>
          <w:color w:val="FF0000"/>
        </w:rPr>
        <w:br w:type="textWrapping"/>
      </w:r>
      <w:r>
        <w:rPr>
          <w:rFonts w:ascii="Times New Roman" w:hAnsi="Times New Roman" w:eastAsia="宋体" w:cs="Times New Roman"/>
          <w:color w:val="FF0000"/>
        </w:rPr>
        <w:t>3.如果没有合适中医病名，可以采用病证结合等方式。</w:t>
      </w:r>
    </w:p>
    <w:p w14:paraId="7C84CC0D">
      <w:pPr>
        <w:rPr>
          <w:rFonts w:ascii="Times New Roman" w:hAnsi="Times New Roman" w:eastAsia="宋体" w:cs="Times New Roman"/>
          <w:color w:val="FF0000"/>
        </w:rPr>
      </w:pPr>
    </w:p>
    <w:p w14:paraId="0D9519F1">
      <w:pPr>
        <w:rPr>
          <w:rFonts w:ascii="Times New Roman" w:hAnsi="Times New Roman" w:eastAsia="宋体" w:cs="Times New Roman"/>
          <w:bCs/>
          <w:sz w:val="24"/>
        </w:rPr>
      </w:pPr>
      <w:r>
        <w:rPr>
          <w:rFonts w:ascii="Times New Roman" w:hAnsi="Times New Roman" w:eastAsia="宋体" w:cs="Times New Roman"/>
          <w:bCs/>
          <w:sz w:val="24"/>
        </w:rPr>
        <w:t>②中医辨病辨证依据</w:t>
      </w:r>
      <w:r>
        <w:rPr>
          <w:rFonts w:ascii="Times New Roman" w:hAnsi="Times New Roman" w:eastAsia="宋体" w:cs="Times New Roman"/>
          <w:bCs/>
          <w:sz w:val="24"/>
        </w:rPr>
        <w:br w:type="textWrapping"/>
      </w:r>
      <w:r>
        <w:rPr>
          <w:rFonts w:ascii="Times New Roman" w:hAnsi="Times New Roman" w:eastAsia="宋体" w:cs="Times New Roman"/>
          <w:color w:val="0000FF"/>
          <w:sz w:val="24"/>
        </w:rPr>
        <w:t>示例：患者因“未避孕未孕4+年，IVF-ET失败3次”就诊，夫妻性生活正常，双方染色体正常，彩超发现子宫肌瘤，故诊断为不孕症、癥瘕。患者34岁初孕流产后4+年未避孕未孕、又反复IVF-ET失败，有两次胎停流产清宫史，提示脾肾之本不足，冲任胞宫受损，无以结胎、系胎、载胎和养胎；金刃损伤冲任胞宫，离经之血聚而成瘀，加之肝郁气滞，气血运行不畅，积而成块，又渐成癥瘕。就诊时患者已年近六七，肾精气渐虚，生育压力倍增，致情绪焦虑。结合患者舌偏红，苔白微腻，脉弦滑，故病位在肝、脾、肾、冲任、胞宫，辨证为脾肾不足，肝郁血瘀证</w:t>
      </w:r>
      <w:r>
        <w:rPr>
          <w:rFonts w:ascii="Times New Roman" w:hAnsi="Times New Roman" w:eastAsia="宋体" w:cs="Times New Roman"/>
          <w:bCs/>
          <w:sz w:val="24"/>
        </w:rPr>
        <w:t>。</w:t>
      </w:r>
    </w:p>
    <w:p w14:paraId="2C10F8E9">
      <w:pPr>
        <w:rPr>
          <w:rFonts w:ascii="Times New Roman" w:hAnsi="Times New Roman" w:eastAsia="宋体" w:cs="Times New Roman"/>
          <w:bCs/>
          <w:sz w:val="24"/>
        </w:rPr>
      </w:pPr>
    </w:p>
    <w:p w14:paraId="2229CBA0">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38758FD1">
      <w:pPr>
        <w:rPr>
          <w:rFonts w:ascii="Times New Roman" w:hAnsi="Times New Roman" w:eastAsia="宋体" w:cs="Times New Roman"/>
          <w:color w:val="FF0000"/>
        </w:rPr>
      </w:pPr>
      <w:r>
        <w:rPr>
          <w:rFonts w:ascii="Times New Roman" w:hAnsi="Times New Roman" w:eastAsia="宋体" w:cs="Times New Roman"/>
          <w:color w:val="FF0000"/>
        </w:rPr>
        <w:t>1.中医辨病辨证依据，辨病依据充足，条理清晰；辨证完整，病因病机分析逻辑清晰，辩证结论全面（包含证候、病位）；</w:t>
      </w:r>
    </w:p>
    <w:p w14:paraId="111B24D6">
      <w:pPr>
        <w:rPr>
          <w:rFonts w:ascii="Times New Roman" w:hAnsi="Times New Roman" w:eastAsia="宋体" w:cs="Times New Roman"/>
          <w:color w:val="FF0000"/>
        </w:rPr>
      </w:pPr>
      <w:r>
        <w:rPr>
          <w:rFonts w:ascii="Times New Roman" w:hAnsi="Times New Roman" w:eastAsia="宋体" w:cs="Times New Roman"/>
          <w:color w:val="FF0000"/>
        </w:rPr>
        <w:t>2.对诊断不明的写出鉴别诊断并进行分析，鉴别诊断需结合患者具体情况。</w:t>
      </w:r>
    </w:p>
    <w:p w14:paraId="5960EC66">
      <w:pPr>
        <w:rPr>
          <w:rFonts w:ascii="Times New Roman" w:hAnsi="Times New Roman" w:eastAsia="宋体" w:cs="Times New Roman"/>
          <w:color w:val="FF0000"/>
        </w:rPr>
      </w:pPr>
    </w:p>
    <w:p w14:paraId="7659E9E8">
      <w:pPr>
        <w:rPr>
          <w:rFonts w:ascii="Times New Roman" w:hAnsi="Times New Roman" w:eastAsia="宋体" w:cs="Times New Roman"/>
          <w:b/>
          <w:bCs/>
          <w:sz w:val="24"/>
        </w:rPr>
      </w:pPr>
      <w:r>
        <w:rPr>
          <w:rFonts w:ascii="Times New Roman" w:hAnsi="Times New Roman" w:eastAsia="宋体" w:cs="Times New Roman"/>
          <w:b/>
          <w:bCs/>
          <w:sz w:val="24"/>
        </w:rPr>
        <w:t>5.西医诊断</w:t>
      </w:r>
    </w:p>
    <w:p w14:paraId="726F55D9">
      <w:pPr>
        <w:ind w:firstLine="480" w:firstLineChars="200"/>
        <w:rPr>
          <w:rFonts w:ascii="Times New Roman" w:hAnsi="Times New Roman" w:eastAsia="宋体" w:cs="Times New Roman"/>
          <w:sz w:val="24"/>
        </w:rPr>
      </w:pPr>
      <w:r>
        <w:rPr>
          <w:rFonts w:ascii="Times New Roman" w:hAnsi="Times New Roman" w:eastAsia="宋体" w:cs="Times New Roman"/>
          <w:sz w:val="24"/>
        </w:rPr>
        <w:t>只写主要疾病诊断，多个疾病请注意主次分明，第一诊断须与中医诊断对应，按示例格式进行排列。</w:t>
      </w:r>
    </w:p>
    <w:p w14:paraId="343D6DAE">
      <w:pPr>
        <w:rPr>
          <w:rFonts w:ascii="Times New Roman" w:hAnsi="Times New Roman" w:eastAsia="宋体" w:cs="Times New Roman"/>
          <w:color w:val="0000FF"/>
          <w:sz w:val="24"/>
        </w:rPr>
      </w:pPr>
      <w:r>
        <w:rPr>
          <w:rFonts w:ascii="Times New Roman" w:hAnsi="Times New Roman" w:eastAsia="宋体" w:cs="Times New Roman"/>
          <w:color w:val="0000FF"/>
          <w:sz w:val="24"/>
        </w:rPr>
        <w:t>示例：（1）继发性不孕；（2）高胰岛素血症；（3）子宫肌瘤。</w:t>
      </w:r>
    </w:p>
    <w:p w14:paraId="33A56BD3">
      <w:pPr>
        <w:rPr>
          <w:rFonts w:ascii="Times New Roman" w:hAnsi="Times New Roman" w:eastAsia="宋体" w:cs="Times New Roman"/>
          <w:color w:val="0000FF"/>
          <w:sz w:val="24"/>
        </w:rPr>
      </w:pPr>
    </w:p>
    <w:p w14:paraId="6C265FA8">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1730A05A">
      <w:pPr>
        <w:rPr>
          <w:rFonts w:ascii="Times New Roman" w:hAnsi="Times New Roman" w:eastAsia="宋体" w:cs="Times New Roman"/>
          <w:color w:val="FF0000"/>
        </w:rPr>
      </w:pPr>
      <w:r>
        <w:rPr>
          <w:rFonts w:ascii="Times New Roman" w:hAnsi="Times New Roman" w:eastAsia="宋体" w:cs="Times New Roman"/>
          <w:color w:val="FF0000"/>
        </w:rPr>
        <w:t>1.注意事项：西医疾病名称参照ICD-11，如诊断为多项，注意主次分明，第一诊断须与中医诊断对应；</w:t>
      </w:r>
    </w:p>
    <w:p w14:paraId="3F845AF6">
      <w:pPr>
        <w:rPr>
          <w:rFonts w:ascii="Times New Roman" w:hAnsi="Times New Roman" w:eastAsia="宋体" w:cs="Times New Roman"/>
          <w:color w:val="FF0000"/>
        </w:rPr>
      </w:pPr>
      <w:r>
        <w:rPr>
          <w:rFonts w:ascii="Times New Roman" w:hAnsi="Times New Roman" w:eastAsia="宋体" w:cs="Times New Roman"/>
          <w:color w:val="FF0000"/>
        </w:rPr>
        <w:t>2.诊断精确，如需进行分型、分级、分期，请明确分型、分级、分期。</w:t>
      </w:r>
    </w:p>
    <w:p w14:paraId="53A26708">
      <w:pPr>
        <w:rPr>
          <w:rFonts w:ascii="Times New Roman" w:hAnsi="Times New Roman" w:eastAsia="宋体" w:cs="Times New Roman"/>
          <w:color w:val="FF0000"/>
        </w:rPr>
      </w:pPr>
    </w:p>
    <w:p w14:paraId="18578BAE">
      <w:pPr>
        <w:rPr>
          <w:rFonts w:ascii="Times New Roman" w:hAnsi="Times New Roman" w:eastAsia="宋体" w:cs="Times New Roman"/>
          <w:b/>
          <w:bCs/>
          <w:sz w:val="24"/>
        </w:rPr>
      </w:pPr>
      <w:r>
        <w:rPr>
          <w:rFonts w:ascii="Times New Roman" w:hAnsi="Times New Roman" w:eastAsia="宋体" w:cs="Times New Roman"/>
          <w:b/>
          <w:bCs/>
          <w:sz w:val="24"/>
        </w:rPr>
        <w:t>西医诊断依据</w:t>
      </w:r>
    </w:p>
    <w:p w14:paraId="719649A8">
      <w:pPr>
        <w:rPr>
          <w:rFonts w:ascii="Times New Roman" w:hAnsi="Times New Roman" w:eastAsia="宋体" w:cs="Times New Roman"/>
          <w:color w:val="0000FF"/>
          <w:sz w:val="24"/>
        </w:rPr>
      </w:pPr>
      <w:r>
        <w:rPr>
          <w:rFonts w:ascii="Times New Roman" w:hAnsi="Times New Roman" w:eastAsia="宋体" w:cs="Times New Roman"/>
          <w:color w:val="0000FF"/>
          <w:sz w:val="24"/>
        </w:rPr>
        <w:t>示例：西医诊断依据</w:t>
      </w:r>
      <w:r>
        <w:rPr>
          <w:rFonts w:hint="eastAsia" w:ascii="Times New Roman" w:hAnsi="Times New Roman" w:eastAsia="宋体" w:cs="Times New Roman"/>
          <w:color w:val="0000FF"/>
          <w:sz w:val="24"/>
        </w:rPr>
        <w:t>：</w:t>
      </w:r>
      <w:r>
        <w:rPr>
          <w:rFonts w:ascii="Times New Roman" w:hAnsi="Times New Roman" w:eastAsia="宋体" w:cs="Times New Roman"/>
          <w:color w:val="0000FF"/>
          <w:sz w:val="24"/>
        </w:rPr>
        <w:t>（1）患者未避孕未孕4+年，既往有1次自然妊娠胚胎停育史，1次IVF移植后胚胎停育史；（2）2023年3月胰岛素释放试验提示空腹INS：28.32 μIU/ml↑，0.5h INS： 173.46 μIU/ml↑，1h INS：207.43 μIU/ml↑，2h INS： 125.2 μIU/ml↑，3h INS： 57.71 μIU/ml↑；（3）2019年体检发现子宫肌瘤，2024年彩超再次提示子宫肌瘤。</w:t>
      </w:r>
    </w:p>
    <w:p w14:paraId="2D949BC2">
      <w:pPr>
        <w:rPr>
          <w:rFonts w:ascii="Times New Roman" w:hAnsi="Times New Roman" w:eastAsia="宋体" w:cs="Times New Roman"/>
          <w:color w:val="0000FF"/>
          <w:sz w:val="24"/>
        </w:rPr>
      </w:pPr>
    </w:p>
    <w:p w14:paraId="39282058">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536D92A7">
      <w:pPr>
        <w:ind w:firstLine="420" w:firstLineChars="200"/>
        <w:rPr>
          <w:rFonts w:ascii="Times New Roman" w:hAnsi="Times New Roman" w:eastAsia="宋体" w:cs="Times New Roman"/>
          <w:color w:val="FF0000"/>
        </w:rPr>
      </w:pPr>
      <w:r>
        <w:rPr>
          <w:rFonts w:ascii="Times New Roman" w:hAnsi="Times New Roman" w:eastAsia="宋体" w:cs="Times New Roman"/>
          <w:color w:val="FF0000"/>
        </w:rPr>
        <w:t>简述西医诊断依据及思路。诊断应依据病史、症状、体征、辅助检查等应列出相应的具体临床依据，需保证诊断依据无缺陷。对诊断不明的写出鉴别诊断并进行分析，鉴别诊断需结合患者具体情况。</w:t>
      </w:r>
    </w:p>
    <w:p w14:paraId="2DA003D6">
      <w:pPr>
        <w:ind w:firstLine="420" w:firstLineChars="200"/>
        <w:rPr>
          <w:rFonts w:ascii="Times New Roman" w:hAnsi="Times New Roman" w:eastAsia="宋体" w:cs="Times New Roman"/>
          <w:color w:val="FF0000"/>
        </w:rPr>
      </w:pPr>
    </w:p>
    <w:p w14:paraId="6EBFE32F">
      <w:pPr>
        <w:rPr>
          <w:rFonts w:ascii="Times New Roman" w:hAnsi="Times New Roman" w:eastAsia="宋体" w:cs="Times New Roman"/>
          <w:b/>
          <w:bCs/>
          <w:sz w:val="24"/>
        </w:rPr>
      </w:pPr>
      <w:r>
        <w:rPr>
          <w:rFonts w:ascii="Times New Roman" w:hAnsi="Times New Roman" w:eastAsia="宋体" w:cs="Times New Roman"/>
          <w:b/>
          <w:bCs/>
          <w:sz w:val="24"/>
        </w:rPr>
        <w:t>6.中药</w:t>
      </w:r>
    </w:p>
    <w:p w14:paraId="527B75FD">
      <w:pPr>
        <w:rPr>
          <w:rFonts w:ascii="Times New Roman" w:hAnsi="Times New Roman" w:eastAsia="宋体" w:cs="Times New Roman"/>
          <w:sz w:val="24"/>
        </w:rPr>
      </w:pPr>
      <w:r>
        <w:rPr>
          <w:rFonts w:ascii="Times New Roman" w:hAnsi="Times New Roman" w:eastAsia="宋体" w:cs="Times New Roman"/>
          <w:sz w:val="24"/>
        </w:rPr>
        <w:t>中药汤剂、中成药、民族医药等</w:t>
      </w:r>
    </w:p>
    <w:p w14:paraId="656A44BF">
      <w:pPr>
        <w:ind w:firstLine="420" w:firstLineChars="200"/>
        <w:rPr>
          <w:rFonts w:ascii="Times New Roman" w:hAnsi="Times New Roman" w:eastAsia="宋体" w:cs="Times New Roman"/>
          <w:color w:val="FF0000"/>
        </w:rPr>
      </w:pPr>
    </w:p>
    <w:p w14:paraId="38DC4B6C">
      <w:pPr>
        <w:rPr>
          <w:rFonts w:ascii="Times New Roman" w:hAnsi="Times New Roman" w:eastAsia="宋体" w:cs="Times New Roman"/>
          <w:color w:val="0000FF"/>
          <w:sz w:val="24"/>
        </w:rPr>
      </w:pPr>
      <w:r>
        <w:rPr>
          <w:rFonts w:ascii="Times New Roman" w:hAnsi="Times New Roman" w:eastAsia="宋体" w:cs="Times New Roman"/>
          <w:color w:val="0000FF"/>
          <w:sz w:val="24"/>
        </w:rPr>
        <w:t>示例：</w:t>
      </w:r>
    </w:p>
    <w:p w14:paraId="7646479F">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方药：</w:t>
      </w:r>
    </w:p>
    <w:p w14:paraId="0136935B">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治法：疏肝健脾，活血通络，益气扶正。</w:t>
      </w:r>
    </w:p>
    <w:p w14:paraId="25BFAF73">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处方：四逆玉屏风散加减。</w:t>
      </w:r>
    </w:p>
    <w:p w14:paraId="45BA9AC1">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用药：醋北柴胡10 g、白芍30 g、麸炒枳壳15 g、甘草片6 g、黄芪15 g、麸炒白术15 g、防风10 g、党参15 g、茯苓15 g、绞股蓝15 g、灵芝10 g、炒白扁豆15 g、丝瓜络15 g、路路通15 g、四制香附15 g、三棱15 g、莪术15 g，共8剂，水煎服，3日2剂，1次150 ml，每日3次。</w:t>
      </w:r>
    </w:p>
    <w:p w14:paraId="22CFCA80">
      <w:pPr>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方义：四逆散出自《伤寒论》，柴胡为君药，疏解内郁之肝气，配以白芍，养肝血，柔肝阴，条达肝气；枳壳疏肝理气，与白芍相佐，理气和血，气血同调；使以甘草，调和诸药。玉屏风散出自《究原方》，黄芪补三焦、脾胃之气，白术培脾土以固里，佐以防风周卫全身固护表气，三者犹如御屏之风。魏绍斌教授选用玉屏风散之意，实为考虑患者多次IVF-ET失败，机体脾肾不足，正气受损，故取此方健脾实卫，益气扶正。党参、炒扁豆、绞股蓝益气健脾，灵芝补气安神，以助玉屏风散健脾益气扶正之功。丝瓜络、路路通、三棱、莪术活血通络，以散胞宫胞络之瘀阻，香附疏肝解郁，理气宽中。诸药合用，共奏疏肝健脾，活血通络，益气扶正之效。魏绍斌教授认为患者3次IVF-ET失败，脾肾不足为其本，初诊时患者情绪焦虑，生育压力颇大，以肝气郁结为主要证候表现，恐肝木反克脾土，血不养肝致肾精亏虚更甚，故首诊治疗以疏调肝气、健脾益气为主，使肝气得舒，脾气健运，正气以复，后天以养先天，从而起到肝脾肾三脏同调之效。</w:t>
      </w:r>
    </w:p>
    <w:p w14:paraId="18984D58">
      <w:pPr>
        <w:rPr>
          <w:rFonts w:ascii="Times New Roman" w:hAnsi="Times New Roman" w:eastAsia="宋体" w:cs="Times New Roman"/>
          <w:color w:val="0000FF"/>
          <w:sz w:val="24"/>
        </w:rPr>
      </w:pPr>
      <w:r>
        <w:rPr>
          <w:rFonts w:ascii="Times New Roman" w:hAnsi="Times New Roman" w:eastAsia="宋体" w:cs="Times New Roman"/>
          <w:color w:val="0000FF"/>
          <w:sz w:val="24"/>
        </w:rPr>
        <w:t>定坤丹2盒，滋补气血，调经舒郁。1日2次，1次3.5 g。</w:t>
      </w:r>
    </w:p>
    <w:p w14:paraId="25DBEF54">
      <w:pPr>
        <w:rPr>
          <w:rFonts w:ascii="Times New Roman" w:hAnsi="Times New Roman" w:eastAsia="宋体" w:cs="Times New Roman"/>
          <w:color w:val="0000FF"/>
          <w:sz w:val="24"/>
        </w:rPr>
      </w:pPr>
    </w:p>
    <w:p w14:paraId="01793280">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219308D5">
      <w:pPr>
        <w:rPr>
          <w:rFonts w:ascii="Times New Roman" w:hAnsi="Times New Roman" w:eastAsia="宋体" w:cs="Times New Roman"/>
          <w:color w:val="FF0000"/>
        </w:rPr>
      </w:pPr>
      <w:r>
        <w:rPr>
          <w:rFonts w:ascii="Times New Roman" w:hAnsi="Times New Roman" w:eastAsia="宋体" w:cs="Times New Roman"/>
          <w:color w:val="FF0000"/>
        </w:rPr>
        <w:t>1.饮片调制、煎煮的特殊要求用括号标明，如（后下）、（先煎）；对饮片产地、炮制有特殊要求的需标明；</w:t>
      </w:r>
    </w:p>
    <w:p w14:paraId="20C68CED">
      <w:pPr>
        <w:rPr>
          <w:rFonts w:ascii="Times New Roman" w:hAnsi="Times New Roman" w:eastAsia="宋体" w:cs="Times New Roman"/>
          <w:color w:val="FF0000"/>
        </w:rPr>
      </w:pPr>
      <w:r>
        <w:rPr>
          <w:rFonts w:ascii="Times New Roman" w:hAnsi="Times New Roman" w:eastAsia="宋体" w:cs="Times New Roman"/>
          <w:color w:val="FF0000"/>
        </w:rPr>
        <w:t>2.需进行理法方药分析，明确君臣佐使配伍思路，包含但不限于处方出处、加减化裁等；</w:t>
      </w:r>
    </w:p>
    <w:p w14:paraId="7C193241">
      <w:pPr>
        <w:rPr>
          <w:rFonts w:ascii="Times New Roman" w:hAnsi="Times New Roman" w:eastAsia="宋体" w:cs="Times New Roman"/>
          <w:color w:val="FF0000"/>
        </w:rPr>
      </w:pPr>
      <w:r>
        <w:rPr>
          <w:rFonts w:ascii="Times New Roman" w:hAnsi="Times New Roman" w:eastAsia="宋体" w:cs="Times New Roman"/>
          <w:color w:val="FF0000"/>
        </w:rPr>
        <w:t>3.超大剂量用药需说明；</w:t>
      </w:r>
    </w:p>
    <w:p w14:paraId="6DA9DB1D">
      <w:pPr>
        <w:rPr>
          <w:rFonts w:ascii="Times New Roman" w:hAnsi="Times New Roman" w:eastAsia="宋体" w:cs="Times New Roman"/>
          <w:color w:val="FF0000"/>
        </w:rPr>
      </w:pPr>
      <w:r>
        <w:rPr>
          <w:rFonts w:ascii="Times New Roman" w:hAnsi="Times New Roman" w:eastAsia="宋体" w:cs="Times New Roman"/>
          <w:color w:val="FF0000"/>
        </w:rPr>
        <w:t>4.医院制剂需写出药物组成。</w:t>
      </w:r>
    </w:p>
    <w:p w14:paraId="2847D48F">
      <w:pPr>
        <w:rPr>
          <w:rFonts w:ascii="Times New Roman" w:hAnsi="Times New Roman" w:eastAsia="宋体" w:cs="Times New Roman"/>
          <w:color w:val="FF0000"/>
        </w:rPr>
      </w:pPr>
    </w:p>
    <w:p w14:paraId="66B23083">
      <w:pPr>
        <w:rPr>
          <w:rFonts w:ascii="Times New Roman" w:hAnsi="Times New Roman" w:eastAsia="宋体" w:cs="Times New Roman"/>
          <w:b/>
          <w:bCs/>
          <w:sz w:val="24"/>
        </w:rPr>
      </w:pPr>
      <w:r>
        <w:rPr>
          <w:rFonts w:ascii="Times New Roman" w:hAnsi="Times New Roman" w:eastAsia="宋体" w:cs="Times New Roman"/>
          <w:b/>
          <w:bCs/>
          <w:sz w:val="24"/>
        </w:rPr>
        <w:t>7.非药物疗法</w:t>
      </w:r>
    </w:p>
    <w:p w14:paraId="5CFC0521">
      <w:pPr>
        <w:ind w:firstLine="480" w:firstLineChars="200"/>
        <w:rPr>
          <w:rFonts w:ascii="Times New Roman" w:hAnsi="Times New Roman" w:eastAsia="宋体" w:cs="Times New Roman"/>
          <w:sz w:val="24"/>
        </w:rPr>
      </w:pPr>
      <w:r>
        <w:rPr>
          <w:rFonts w:ascii="Times New Roman" w:hAnsi="Times New Roman" w:eastAsia="宋体" w:cs="Times New Roman"/>
          <w:sz w:val="24"/>
        </w:rPr>
        <w:t>针刺类技术、推拿类技术、刮痧类技术、拔罐类技术、灸类技术、敷熨熏浴类技术。</w:t>
      </w:r>
    </w:p>
    <w:p w14:paraId="4B5DA046">
      <w:pPr>
        <w:ind w:firstLine="480" w:firstLineChars="200"/>
        <w:rPr>
          <w:rFonts w:ascii="Times New Roman" w:hAnsi="Times New Roman" w:eastAsia="宋体" w:cs="Times New Roman"/>
          <w:sz w:val="24"/>
        </w:rPr>
      </w:pPr>
    </w:p>
    <w:p w14:paraId="61DA7CBD">
      <w:pPr>
        <w:rPr>
          <w:rFonts w:ascii="Times New Roman" w:hAnsi="Times New Roman" w:eastAsia="宋体" w:cs="Times New Roman"/>
          <w:color w:val="0000FF"/>
          <w:sz w:val="24"/>
        </w:rPr>
      </w:pPr>
      <w:r>
        <w:rPr>
          <w:rFonts w:ascii="Times New Roman" w:hAnsi="Times New Roman" w:eastAsia="宋体" w:cs="Times New Roman"/>
          <w:color w:val="0000FF"/>
          <w:sz w:val="24"/>
        </w:rPr>
        <w:t>示例：</w:t>
      </w:r>
    </w:p>
    <w:p w14:paraId="15F03A4D">
      <w:pPr>
        <w:rPr>
          <w:rFonts w:ascii="Times New Roman" w:hAnsi="Times New Roman" w:eastAsia="宋体" w:cs="Times New Roman"/>
          <w:color w:val="0000FF"/>
          <w:sz w:val="24"/>
        </w:rPr>
      </w:pPr>
      <w:r>
        <w:rPr>
          <w:rFonts w:ascii="Times New Roman" w:hAnsi="Times New Roman" w:eastAsia="宋体" w:cs="Times New Roman"/>
          <w:color w:val="0000FF"/>
          <w:sz w:val="24"/>
        </w:rPr>
        <w:t>选穴：描述所选用的穴位。</w:t>
      </w:r>
    </w:p>
    <w:p w14:paraId="3BF95512">
      <w:pPr>
        <w:rPr>
          <w:rFonts w:ascii="Times New Roman" w:hAnsi="Times New Roman" w:eastAsia="宋体" w:cs="Times New Roman"/>
          <w:color w:val="0000FF"/>
          <w:sz w:val="24"/>
        </w:rPr>
      </w:pPr>
      <w:r>
        <w:rPr>
          <w:rFonts w:ascii="Times New Roman" w:hAnsi="Times New Roman" w:eastAsia="宋体" w:cs="Times New Roman"/>
          <w:color w:val="0000FF"/>
          <w:sz w:val="24"/>
        </w:rPr>
        <w:t>操作要点：包含穴位、手法，每次治疗时间和频次、针感等。</w:t>
      </w:r>
    </w:p>
    <w:p w14:paraId="674156BF">
      <w:pPr>
        <w:rPr>
          <w:rFonts w:ascii="Times New Roman" w:hAnsi="Times New Roman" w:eastAsia="宋体" w:cs="Times New Roman"/>
          <w:color w:val="0000FF"/>
          <w:sz w:val="24"/>
        </w:rPr>
      </w:pPr>
      <w:r>
        <w:rPr>
          <w:rFonts w:ascii="Times New Roman" w:hAnsi="Times New Roman" w:eastAsia="宋体" w:cs="Times New Roman"/>
          <w:color w:val="0000FF"/>
          <w:sz w:val="24"/>
        </w:rPr>
        <w:t>选穴思路：阐述穴位选择依据及思路。</w:t>
      </w:r>
    </w:p>
    <w:p w14:paraId="50A9DAF7">
      <w:pPr>
        <w:rPr>
          <w:rFonts w:ascii="Times New Roman" w:hAnsi="Times New Roman" w:eastAsia="宋体" w:cs="Times New Roman"/>
          <w:color w:val="0000FF"/>
          <w:sz w:val="24"/>
        </w:rPr>
      </w:pPr>
      <w:r>
        <w:rPr>
          <w:rFonts w:ascii="Times New Roman" w:hAnsi="Times New Roman" w:eastAsia="宋体" w:cs="Times New Roman"/>
          <w:color w:val="0000FF"/>
          <w:sz w:val="24"/>
        </w:rPr>
        <w:t>（1）耳针</w:t>
      </w:r>
    </w:p>
    <w:p w14:paraId="1F42200E">
      <w:pPr>
        <w:rPr>
          <w:rFonts w:ascii="Times New Roman" w:hAnsi="Times New Roman" w:eastAsia="宋体" w:cs="Times New Roman"/>
          <w:color w:val="0000FF"/>
          <w:sz w:val="24"/>
        </w:rPr>
      </w:pPr>
      <w:r>
        <w:rPr>
          <w:rFonts w:ascii="Times New Roman" w:hAnsi="Times New Roman" w:eastAsia="宋体" w:cs="Times New Roman"/>
          <w:color w:val="0000FF"/>
          <w:sz w:val="24"/>
        </w:rPr>
        <w:t>治法：健脾疏肝补肾</w:t>
      </w:r>
    </w:p>
    <w:p w14:paraId="46D48942">
      <w:pPr>
        <w:rPr>
          <w:rFonts w:ascii="Times New Roman" w:hAnsi="Times New Roman" w:eastAsia="宋体" w:cs="Times New Roman"/>
          <w:color w:val="0000FF"/>
          <w:sz w:val="24"/>
        </w:rPr>
      </w:pPr>
      <w:r>
        <w:rPr>
          <w:rFonts w:ascii="Times New Roman" w:hAnsi="Times New Roman" w:eastAsia="宋体" w:cs="Times New Roman"/>
          <w:color w:val="0000FF"/>
          <w:sz w:val="24"/>
        </w:rPr>
        <w:t>选穴：肝、脾、肾、子宫、卵巢、内分泌。</w:t>
      </w:r>
    </w:p>
    <w:p w14:paraId="62A29073">
      <w:pPr>
        <w:rPr>
          <w:rFonts w:ascii="Times New Roman" w:hAnsi="Times New Roman" w:eastAsia="宋体" w:cs="Times New Roman"/>
          <w:color w:val="0000FF"/>
          <w:sz w:val="24"/>
        </w:rPr>
      </w:pPr>
      <w:r>
        <w:rPr>
          <w:rFonts w:ascii="Times New Roman" w:hAnsi="Times New Roman" w:eastAsia="宋体" w:cs="Times New Roman"/>
          <w:color w:val="0000FF"/>
          <w:sz w:val="24"/>
        </w:rPr>
        <w:t>操作要点：选用中药王不留行籽贴压，每天按压穴位2~3次，每次1~2分钟，以加强局部刺激，增强治疗效果。</w:t>
      </w:r>
    </w:p>
    <w:p w14:paraId="118C8610">
      <w:pPr>
        <w:rPr>
          <w:rFonts w:ascii="Times New Roman" w:hAnsi="Times New Roman" w:eastAsia="宋体" w:cs="Times New Roman"/>
          <w:color w:val="0000FF"/>
          <w:sz w:val="24"/>
        </w:rPr>
      </w:pPr>
      <w:r>
        <w:rPr>
          <w:rFonts w:ascii="Times New Roman" w:hAnsi="Times New Roman" w:eastAsia="宋体" w:cs="Times New Roman"/>
          <w:color w:val="0000FF"/>
          <w:sz w:val="24"/>
        </w:rPr>
        <w:t>选穴思路：选用肝、脾、肾三穴以三脏同调，子宫、卵巢、内分泌改善整体卵巢、子宫功能。</w:t>
      </w:r>
    </w:p>
    <w:p w14:paraId="56FFD812">
      <w:pPr>
        <w:rPr>
          <w:rFonts w:ascii="Times New Roman" w:hAnsi="Times New Roman" w:eastAsia="宋体" w:cs="Times New Roman"/>
          <w:color w:val="0000FF"/>
          <w:sz w:val="24"/>
        </w:rPr>
      </w:pPr>
      <w:r>
        <w:rPr>
          <w:rFonts w:ascii="Times New Roman" w:hAnsi="Times New Roman" w:eastAsia="宋体" w:cs="Times New Roman"/>
          <w:color w:val="0000FF"/>
          <w:sz w:val="24"/>
        </w:rPr>
        <w:t>（2）穴位贴敷</w:t>
      </w:r>
    </w:p>
    <w:p w14:paraId="30111696">
      <w:pPr>
        <w:rPr>
          <w:rFonts w:ascii="Times New Roman" w:hAnsi="Times New Roman" w:eastAsia="宋体" w:cs="Times New Roman"/>
          <w:color w:val="0000FF"/>
          <w:sz w:val="24"/>
        </w:rPr>
      </w:pPr>
      <w:r>
        <w:rPr>
          <w:rFonts w:ascii="Times New Roman" w:hAnsi="Times New Roman" w:eastAsia="宋体" w:cs="Times New Roman"/>
          <w:color w:val="0000FF"/>
          <w:sz w:val="24"/>
        </w:rPr>
        <w:t>治法：补肾健脾</w:t>
      </w:r>
    </w:p>
    <w:p w14:paraId="1A9C4F7D">
      <w:pPr>
        <w:rPr>
          <w:rFonts w:ascii="Times New Roman" w:hAnsi="Times New Roman" w:eastAsia="宋体" w:cs="Times New Roman"/>
          <w:color w:val="0000FF"/>
          <w:sz w:val="24"/>
        </w:rPr>
      </w:pPr>
      <w:r>
        <w:rPr>
          <w:rFonts w:ascii="Times New Roman" w:hAnsi="Times New Roman" w:eastAsia="宋体" w:cs="Times New Roman"/>
          <w:color w:val="0000FF"/>
          <w:sz w:val="24"/>
        </w:rPr>
        <w:t>选穴：双肾俞、双足三里、中脘、关元。</w:t>
      </w:r>
    </w:p>
    <w:p w14:paraId="79A21D76">
      <w:pPr>
        <w:rPr>
          <w:rFonts w:ascii="Times New Roman" w:hAnsi="Times New Roman" w:eastAsia="宋体" w:cs="Times New Roman"/>
          <w:color w:val="0000FF"/>
          <w:sz w:val="24"/>
        </w:rPr>
      </w:pPr>
      <w:r>
        <w:rPr>
          <w:rFonts w:ascii="Times New Roman" w:hAnsi="Times New Roman" w:eastAsia="宋体" w:cs="Times New Roman"/>
          <w:color w:val="0000FF"/>
          <w:sz w:val="24"/>
        </w:rPr>
        <w:t>操作要点：按取穴方法准确选取对应穴位，常规消毒取穴部位皮肤，取适量补肾健脾药物研粉调制成膏状，置于大小合适的空白穴位贴上，贴敷于相应穴位。每日1次，每次贴敷4~6小时。</w:t>
      </w:r>
    </w:p>
    <w:p w14:paraId="5B513AC4">
      <w:pPr>
        <w:rPr>
          <w:rFonts w:ascii="Times New Roman" w:hAnsi="Times New Roman" w:eastAsia="宋体" w:cs="Times New Roman"/>
          <w:color w:val="0000FF"/>
          <w:sz w:val="24"/>
        </w:rPr>
      </w:pPr>
      <w:r>
        <w:rPr>
          <w:rFonts w:ascii="Times New Roman" w:hAnsi="Times New Roman" w:eastAsia="宋体" w:cs="Times New Roman"/>
          <w:color w:val="0000FF"/>
          <w:sz w:val="24"/>
        </w:rPr>
        <w:t>选穴思路：选取肾俞补肾益精、蓄养冲任；双足三里、中脘扶正培元，补脏腑之虚损，调节脾胃功能；关元穴为肝脾肾三阴经与任脉之会，可补肾益精，调理三阴。</w:t>
      </w:r>
    </w:p>
    <w:p w14:paraId="564857A1">
      <w:pPr>
        <w:rPr>
          <w:rFonts w:ascii="Times New Roman" w:hAnsi="Times New Roman" w:eastAsia="宋体" w:cs="Times New Roman"/>
          <w:color w:val="0000FF"/>
          <w:sz w:val="24"/>
        </w:rPr>
      </w:pPr>
    </w:p>
    <w:p w14:paraId="3056A0F1">
      <w:pPr>
        <w:rPr>
          <w:rFonts w:ascii="Times New Roman" w:hAnsi="Times New Roman" w:eastAsia="宋体" w:cs="Times New Roman"/>
          <w:color w:val="0000FF"/>
          <w:sz w:val="24"/>
        </w:rPr>
      </w:pPr>
      <w:r>
        <w:rPr>
          <w:rFonts w:ascii="Times New Roman" w:hAnsi="Times New Roman" w:eastAsia="宋体" w:cs="Times New Roman"/>
          <w:color w:val="FF0000"/>
        </w:rPr>
        <w:t>要点须知：</w:t>
      </w:r>
    </w:p>
    <w:p w14:paraId="06691525">
      <w:pPr>
        <w:rPr>
          <w:rFonts w:ascii="Times New Roman" w:hAnsi="Times New Roman" w:eastAsia="宋体" w:cs="Times New Roman"/>
          <w:color w:val="FF0000"/>
        </w:rPr>
      </w:pPr>
      <w:r>
        <w:rPr>
          <w:rFonts w:ascii="Times New Roman" w:hAnsi="Times New Roman" w:eastAsia="宋体" w:cs="Times New Roman"/>
          <w:color w:val="FF0000"/>
        </w:rPr>
        <w:t>1.非药物疗法要详细描述其操作的具体过程；</w:t>
      </w:r>
    </w:p>
    <w:p w14:paraId="085CECE2">
      <w:pPr>
        <w:rPr>
          <w:rFonts w:ascii="Times New Roman" w:hAnsi="Times New Roman" w:eastAsia="宋体" w:cs="Times New Roman"/>
          <w:color w:val="FF0000"/>
        </w:rPr>
      </w:pPr>
      <w:r>
        <w:rPr>
          <w:rFonts w:ascii="Times New Roman" w:hAnsi="Times New Roman" w:eastAsia="宋体" w:cs="Times New Roman"/>
          <w:color w:val="FF0000"/>
        </w:rPr>
        <w:t>2.明确中医技术名称、治则治法、取穴（施治）部位，并对中医技术进行分析；</w:t>
      </w:r>
      <w:r>
        <w:rPr>
          <w:rFonts w:ascii="Times New Roman" w:hAnsi="Times New Roman" w:eastAsia="宋体" w:cs="Times New Roman"/>
          <w:color w:val="FF0000"/>
        </w:rPr>
        <w:br w:type="textWrapping"/>
      </w:r>
      <w:r>
        <w:rPr>
          <w:rFonts w:ascii="Times New Roman" w:hAnsi="Times New Roman" w:eastAsia="宋体" w:cs="Times New Roman"/>
          <w:color w:val="FF0000"/>
        </w:rPr>
        <w:t>3.针刺类技术包括：毫针技术、头针技术、耳针技术、腹针技术、眼针技术、手针技术、腕踝针技术、三棱针技术、皮内针技术、火针技术、皮肤针技术、芒针技术、鍉针技术、穴位注射技术、埋线技术、平衡针技术、醒脑开窍技术、靳三针技术、电针技术、贺氏三通技术、浮针技术等；</w:t>
      </w:r>
      <w:r>
        <w:rPr>
          <w:rFonts w:ascii="Times New Roman" w:hAnsi="Times New Roman" w:eastAsia="宋体" w:cs="Times New Roman"/>
          <w:color w:val="FF0000"/>
        </w:rPr>
        <w:br w:type="textWrapping"/>
      </w:r>
      <w:r>
        <w:rPr>
          <w:rFonts w:ascii="Times New Roman" w:hAnsi="Times New Roman" w:eastAsia="宋体" w:cs="Times New Roman"/>
          <w:color w:val="FF0000"/>
        </w:rPr>
        <w:t>4.推拿类技术包括皮部经筋推拿技术、脏腑推拿技术、关节运动推拿技术、关节调整推拿技术、经穴推拿技术、导引技术、小儿推拿技术、器械辅助推拿技术、膏摩技术等；</w:t>
      </w:r>
      <w:r>
        <w:rPr>
          <w:rFonts w:ascii="Times New Roman" w:hAnsi="Times New Roman" w:eastAsia="宋体" w:cs="Times New Roman"/>
          <w:color w:val="FF0000"/>
        </w:rPr>
        <w:br w:type="textWrapping"/>
      </w:r>
      <w:r>
        <w:rPr>
          <w:rFonts w:ascii="Times New Roman" w:hAnsi="Times New Roman" w:eastAsia="宋体" w:cs="Times New Roman"/>
          <w:color w:val="FF0000"/>
        </w:rPr>
        <w:t>5.刮痧类技术包括刮痧技术、放痧技术、撮痧技术、砭石治疗技术等；</w:t>
      </w:r>
      <w:r>
        <w:rPr>
          <w:rFonts w:ascii="Times New Roman" w:hAnsi="Times New Roman" w:eastAsia="宋体" w:cs="Times New Roman"/>
          <w:color w:val="FF0000"/>
        </w:rPr>
        <w:br w:type="textWrapping"/>
      </w:r>
      <w:r>
        <w:rPr>
          <w:rFonts w:ascii="Times New Roman" w:hAnsi="Times New Roman" w:eastAsia="宋体" w:cs="Times New Roman"/>
          <w:color w:val="FF0000"/>
        </w:rPr>
        <w:t>6.拔罐类技术包括拔罐（留罐、闪罐、走罐）技术、药罐技术、刺络拔罐技术、针罐技术等；7.灸类技术包括麦粒灸技术、隔物灸技术、悬灸技术、三伏天灸技术、温针灸技术、热敏灸技术、雷火灸技术等；</w:t>
      </w:r>
      <w:r>
        <w:rPr>
          <w:rFonts w:ascii="Times New Roman" w:hAnsi="Times New Roman" w:eastAsia="宋体" w:cs="Times New Roman"/>
          <w:color w:val="FF0000"/>
        </w:rPr>
        <w:br w:type="textWrapping"/>
      </w:r>
      <w:r>
        <w:rPr>
          <w:rFonts w:ascii="Times New Roman" w:hAnsi="Times New Roman" w:eastAsia="宋体" w:cs="Times New Roman"/>
          <w:color w:val="FF0000"/>
        </w:rPr>
        <w:t>8.敷熨熏浴类技术包括穴位敷贴技术、中药热熨敷技术、中药冷敷技术、中药湿热敷技术、中药熏蒸技术、中药泡洗技术、中药淋洗技术等。</w:t>
      </w:r>
    </w:p>
    <w:p w14:paraId="6FF855AB">
      <w:pPr>
        <w:rPr>
          <w:rFonts w:ascii="Times New Roman" w:hAnsi="Times New Roman" w:eastAsia="宋体" w:cs="Times New Roman"/>
          <w:color w:val="FF0000"/>
        </w:rPr>
      </w:pPr>
    </w:p>
    <w:p w14:paraId="24FB6A79">
      <w:pPr>
        <w:rPr>
          <w:rFonts w:ascii="Times New Roman" w:hAnsi="Times New Roman" w:eastAsia="宋体" w:cs="Times New Roman"/>
          <w:b/>
          <w:bCs/>
          <w:sz w:val="24"/>
        </w:rPr>
      </w:pPr>
      <w:r>
        <w:rPr>
          <w:rFonts w:ascii="Times New Roman" w:hAnsi="Times New Roman" w:eastAsia="宋体" w:cs="Times New Roman"/>
          <w:b/>
          <w:bCs/>
          <w:sz w:val="24"/>
        </w:rPr>
        <w:t>8.其他治疗</w:t>
      </w:r>
    </w:p>
    <w:p w14:paraId="5C30666B">
      <w:pPr>
        <w:ind w:firstLine="480" w:firstLineChars="200"/>
        <w:rPr>
          <w:rFonts w:ascii="Times New Roman" w:hAnsi="Times New Roman" w:eastAsia="宋体" w:cs="Times New Roman"/>
          <w:sz w:val="24"/>
        </w:rPr>
      </w:pPr>
      <w:r>
        <w:rPr>
          <w:rFonts w:ascii="Times New Roman" w:hAnsi="Times New Roman" w:eastAsia="宋体" w:cs="Times New Roman"/>
          <w:sz w:val="24"/>
        </w:rPr>
        <w:t>包括验方/预防调养方法/西医治疗/或者联合手段。</w:t>
      </w:r>
    </w:p>
    <w:p w14:paraId="47D5F521">
      <w:pPr>
        <w:rPr>
          <w:rFonts w:ascii="Times New Roman" w:hAnsi="Times New Roman" w:eastAsia="宋体" w:cs="Times New Roman"/>
          <w:color w:val="0000FF"/>
          <w:sz w:val="24"/>
        </w:rPr>
      </w:pPr>
      <w:r>
        <w:rPr>
          <w:rFonts w:ascii="Times New Roman" w:hAnsi="Times New Roman" w:eastAsia="宋体" w:cs="Times New Roman"/>
          <w:color w:val="0000FF"/>
          <w:sz w:val="24"/>
        </w:rPr>
        <w:t>示例：患者就诊时情绪焦虑，生育压力大，且伴失眠，魏绍斌教授在予患者中医药内服外治的同时，耐心疏导其不良情绪，悉心指导患者在中医药调治过程中可尝试自然受孕，体现了身心同调的诊治策略。</w:t>
      </w:r>
    </w:p>
    <w:p w14:paraId="7629E028">
      <w:pPr>
        <w:rPr>
          <w:rFonts w:ascii="Times New Roman" w:hAnsi="Times New Roman" w:eastAsia="宋体" w:cs="Times New Roman"/>
          <w:color w:val="0000FF"/>
          <w:sz w:val="24"/>
        </w:rPr>
      </w:pPr>
    </w:p>
    <w:p w14:paraId="3F895152">
      <w:pPr>
        <w:rPr>
          <w:rFonts w:ascii="Times New Roman" w:hAnsi="Times New Roman" w:eastAsia="宋体" w:cs="Times New Roman"/>
          <w:color w:val="FF0000"/>
        </w:rPr>
      </w:pPr>
      <w:r>
        <w:rPr>
          <w:rFonts w:ascii="Times New Roman" w:hAnsi="Times New Roman" w:eastAsia="宋体" w:cs="Times New Roman"/>
          <w:color w:val="FF0000"/>
        </w:rPr>
        <w:t>要点须知：</w:t>
      </w:r>
    </w:p>
    <w:p w14:paraId="12019B1F">
      <w:pPr>
        <w:rPr>
          <w:rFonts w:ascii="Times New Roman" w:hAnsi="Times New Roman" w:eastAsia="宋体" w:cs="Times New Roman"/>
          <w:color w:val="FF0000"/>
        </w:rPr>
      </w:pPr>
      <w:r>
        <w:rPr>
          <w:rFonts w:ascii="Times New Roman" w:hAnsi="Times New Roman" w:eastAsia="宋体" w:cs="Times New Roman"/>
          <w:color w:val="FF0000"/>
        </w:rPr>
        <w:t>1.除中药、非药物疗法外的其他治疗必须按要求记录；</w:t>
      </w:r>
      <w:r>
        <w:rPr>
          <w:rFonts w:ascii="Times New Roman" w:hAnsi="Times New Roman" w:eastAsia="宋体" w:cs="Times New Roman"/>
          <w:color w:val="FF0000"/>
        </w:rPr>
        <w:br w:type="textWrapping"/>
      </w:r>
      <w:r>
        <w:rPr>
          <w:rFonts w:ascii="Times New Roman" w:hAnsi="Times New Roman" w:eastAsia="宋体" w:cs="Times New Roman"/>
          <w:color w:val="FF0000"/>
        </w:rPr>
        <w:t>2.需有具体治疗措施，列出治疗方案，包括具体药物和用药剂量或者方法、疗程、途径等；</w:t>
      </w:r>
      <w:r>
        <w:rPr>
          <w:rFonts w:ascii="Times New Roman" w:hAnsi="Times New Roman" w:eastAsia="宋体" w:cs="Times New Roman"/>
          <w:color w:val="FF0000"/>
        </w:rPr>
        <w:br w:type="textWrapping"/>
      </w:r>
      <w:r>
        <w:rPr>
          <w:rFonts w:ascii="Times New Roman" w:hAnsi="Times New Roman" w:eastAsia="宋体" w:cs="Times New Roman"/>
          <w:color w:val="FF0000"/>
        </w:rPr>
        <w:t>3.西药尽量使用通用名或化学名，请注明生产厂家，国药准字；</w:t>
      </w:r>
      <w:r>
        <w:rPr>
          <w:rFonts w:ascii="Times New Roman" w:hAnsi="Times New Roman" w:eastAsia="宋体" w:cs="Times New Roman"/>
          <w:color w:val="FF0000"/>
        </w:rPr>
        <w:br w:type="textWrapping"/>
      </w:r>
      <w:r>
        <w:rPr>
          <w:rFonts w:ascii="Times New Roman" w:hAnsi="Times New Roman" w:eastAsia="宋体" w:cs="Times New Roman"/>
          <w:color w:val="FF0000"/>
        </w:rPr>
        <w:t>4.其他治疗包含膳食、情志等。</w:t>
      </w:r>
    </w:p>
    <w:p w14:paraId="62A8B00D">
      <w:pPr>
        <w:rPr>
          <w:rFonts w:ascii="Times New Roman" w:hAnsi="Times New Roman" w:eastAsia="宋体" w:cs="Times New Roman"/>
          <w:color w:val="FF0000"/>
        </w:rPr>
      </w:pPr>
    </w:p>
    <w:p w14:paraId="7C76E0F9">
      <w:pPr>
        <w:rPr>
          <w:rFonts w:ascii="Times New Roman" w:hAnsi="Times New Roman" w:eastAsia="宋体" w:cs="Times New Roman"/>
          <w:b/>
          <w:bCs/>
          <w:sz w:val="24"/>
        </w:rPr>
      </w:pPr>
      <w:r>
        <w:rPr>
          <w:rFonts w:ascii="Times New Roman" w:hAnsi="Times New Roman" w:eastAsia="宋体" w:cs="Times New Roman"/>
          <w:b/>
          <w:bCs/>
          <w:sz w:val="24"/>
        </w:rPr>
        <w:t>9.拟行检查/检验项目的具体名称和目的</w:t>
      </w:r>
    </w:p>
    <w:p w14:paraId="77A1B321">
      <w:pPr>
        <w:rPr>
          <w:rFonts w:ascii="Times New Roman" w:hAnsi="Times New Roman" w:eastAsia="宋体" w:cs="Times New Roman"/>
          <w:color w:val="0000FF"/>
          <w:sz w:val="24"/>
        </w:rPr>
      </w:pPr>
      <w:r>
        <w:rPr>
          <w:rFonts w:ascii="Times New Roman" w:hAnsi="Times New Roman" w:eastAsia="宋体" w:cs="Times New Roman"/>
          <w:color w:val="0000FF"/>
          <w:sz w:val="24"/>
        </w:rPr>
        <w:t>示例：建议行免疫相关检查并复查甲状腺功能以评估影响受孕及妊娠结局的潜在因素。</w:t>
      </w:r>
      <w:r>
        <w:rPr>
          <w:rFonts w:ascii="Times New Roman" w:hAnsi="Times New Roman" w:eastAsia="宋体" w:cs="Times New Roman"/>
          <w:color w:val="0000FF"/>
          <w:sz w:val="24"/>
        </w:rPr>
        <w:br w:type="textWrapping"/>
      </w:r>
      <w:r>
        <w:rPr>
          <w:rFonts w:ascii="Times New Roman" w:hAnsi="Times New Roman" w:eastAsia="宋体" w:cs="Times New Roman"/>
          <w:color w:val="0000FF"/>
          <w:sz w:val="24"/>
        </w:rPr>
        <w:br w:type="textWrapping"/>
      </w:r>
      <w:r>
        <w:rPr>
          <w:rFonts w:ascii="Times New Roman" w:hAnsi="Times New Roman" w:eastAsia="宋体" w:cs="Times New Roman"/>
          <w:b/>
          <w:bCs/>
          <w:sz w:val="24"/>
        </w:rPr>
        <w:t>10.随诊要求、注意事项</w:t>
      </w:r>
      <w:r>
        <w:rPr>
          <w:rFonts w:ascii="Times New Roman" w:hAnsi="Times New Roman" w:eastAsia="宋体" w:cs="Times New Roman"/>
          <w:b/>
          <w:bCs/>
          <w:sz w:val="24"/>
        </w:rPr>
        <w:br w:type="textWrapping"/>
      </w:r>
      <w:r>
        <w:rPr>
          <w:rFonts w:ascii="Times New Roman" w:hAnsi="Times New Roman" w:eastAsia="宋体" w:cs="Times New Roman"/>
          <w:color w:val="0000FF"/>
          <w:sz w:val="24"/>
        </w:rPr>
        <w:t>示例：因现为流产清宫术后2-月，建议暂时严格避孕。</w:t>
      </w:r>
    </w:p>
    <w:p w14:paraId="1161F0CD">
      <w:pPr>
        <w:rPr>
          <w:rFonts w:ascii="Times New Roman" w:hAnsi="Times New Roman" w:eastAsia="宋体" w:cs="Times New Roman"/>
          <w:color w:val="0000FF"/>
          <w:sz w:val="24"/>
        </w:rPr>
      </w:pPr>
    </w:p>
    <w:p w14:paraId="755FAD07">
      <w:pPr>
        <w:rPr>
          <w:rFonts w:ascii="Times New Roman" w:hAnsi="Times New Roman" w:eastAsia="宋体" w:cs="Times New Roman"/>
          <w:b/>
          <w:bCs/>
          <w:sz w:val="24"/>
        </w:rPr>
      </w:pPr>
      <w:r>
        <w:rPr>
          <w:rFonts w:ascii="Times New Roman" w:hAnsi="Times New Roman" w:eastAsia="宋体" w:cs="Times New Roman"/>
          <w:b/>
          <w:bCs/>
          <w:sz w:val="24"/>
        </w:rPr>
        <w:t>二、二诊</w:t>
      </w:r>
    </w:p>
    <w:p w14:paraId="727DED76">
      <w:pPr>
        <w:ind w:left="-420" w:leftChars="-200" w:firstLine="482" w:firstLineChars="200"/>
        <w:rPr>
          <w:rFonts w:ascii="Times New Roman" w:hAnsi="Times New Roman" w:eastAsia="宋体" w:cs="Times New Roman"/>
          <w:b/>
          <w:bCs/>
          <w:sz w:val="24"/>
        </w:rPr>
      </w:pPr>
      <w:r>
        <w:rPr>
          <w:rFonts w:ascii="Times New Roman" w:hAnsi="Times New Roman" w:eastAsia="宋体" w:cs="Times New Roman"/>
          <w:b/>
          <w:bCs/>
          <w:sz w:val="24"/>
        </w:rPr>
        <w:t>二诊（xxxx年xx月xx日）</w:t>
      </w:r>
    </w:p>
    <w:p w14:paraId="640BB4E3">
      <w:pPr>
        <w:ind w:left="-420" w:leftChars="-200"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描述首诊后病情变化及方案调整，写明每次干预后病情变化要点、临证思维过程和方案如何调整等。</w:t>
      </w:r>
    </w:p>
    <w:p w14:paraId="30274D65">
      <w:pPr>
        <w:ind w:left="-420" w:leftChars="-200" w:firstLine="480" w:firstLineChars="200"/>
        <w:rPr>
          <w:rFonts w:ascii="Times New Roman" w:hAnsi="Times New Roman" w:eastAsia="宋体" w:cs="Times New Roman"/>
          <w:color w:val="000000" w:themeColor="text1"/>
          <w:sz w:val="24"/>
          <w14:textFill>
            <w14:solidFill>
              <w14:schemeClr w14:val="tx1"/>
            </w14:solidFill>
          </w14:textFill>
        </w:rPr>
      </w:pPr>
    </w:p>
    <w:p w14:paraId="6ED0E8DD">
      <w:pPr>
        <w:ind w:left="-420" w:leftChars="-200"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示例：二诊（2024年03月09日）：刻下症：现月经周期第18天，LMP：2024年02月21日，7天净，量偏多，色红，少块，小腹胀痛可忍，余无特殊。情绪焦虑好转，纳眠可，二便调，舌偏红，苔白微腻，脉滑。患者末次IVF-ET胚胎停育清宫术后已3-月，建议患者开始备孕，尝试自然妊娠。现为经前期，治以补肾健脾，调经助孕，予四子四君子汤加减：盐大菟丝子15 g、盐覆盆子15 g、枸杞子15 g、桑椹15 g、太子参20 g、麸炒白术15 g、山药15 g、炙黄芪15 g、制黄精15 g、干石斛15 g、山萸肉15 g、白芍15 g、陈皮15 g、茯苓15 g、百合15 g、盐巴戟天15 g，共8剂，煎服法同前。另予叶酸片，1次1片，1日1次，口服。耳针、穴位贴敷补肾健脾。四子为《丹溪心法》五子衍宗丸化裁而来，魏绍斌教授常去酸敛收涩之五味子和甘寒滑利之车前子，同时加桑椹以滋阴益肾组成四子方，共奏补肾益精之效。四君子汤健脾益气，加巴戟天温肾助阳，黄精、石斛健脾益气养阴，陈皮理气行滞，防补益药之滋腻，百合清心宁神。嘱患者月经应期未至查尿HCG。</w:t>
      </w:r>
    </w:p>
    <w:p w14:paraId="5F8269EF">
      <w:pPr>
        <w:ind w:left="-420" w:leftChars="-200" w:firstLine="480" w:firstLineChars="200"/>
        <w:rPr>
          <w:rFonts w:ascii="Times New Roman" w:hAnsi="Times New Roman" w:eastAsia="宋体" w:cs="Times New Roman"/>
          <w:color w:val="0000FF"/>
          <w:sz w:val="24"/>
        </w:rPr>
      </w:pPr>
    </w:p>
    <w:p w14:paraId="2926D536">
      <w:pPr>
        <w:ind w:left="-420" w:leftChars="-200" w:firstLine="420" w:firstLineChars="200"/>
        <w:rPr>
          <w:rFonts w:ascii="Times New Roman" w:hAnsi="Times New Roman" w:eastAsia="宋体" w:cs="Times New Roman"/>
          <w:color w:val="FF0000"/>
        </w:rPr>
      </w:pPr>
      <w:r>
        <w:rPr>
          <w:rFonts w:ascii="Times New Roman" w:hAnsi="Times New Roman" w:eastAsia="宋体" w:cs="Times New Roman"/>
          <w:color w:val="FF0000"/>
        </w:rPr>
        <w:t>要点须知：</w:t>
      </w:r>
    </w:p>
    <w:p w14:paraId="51CE34DC">
      <w:pPr>
        <w:ind w:firstLine="420" w:firstLineChars="200"/>
        <w:rPr>
          <w:rFonts w:ascii="Times New Roman" w:hAnsi="Times New Roman" w:eastAsia="宋体" w:cs="Times New Roman"/>
          <w:color w:val="FF0000"/>
        </w:rPr>
      </w:pPr>
      <w:r>
        <w:rPr>
          <w:rFonts w:ascii="Times New Roman" w:hAnsi="Times New Roman" w:eastAsia="宋体" w:cs="Times New Roman"/>
          <w:color w:val="FF0000"/>
        </w:rPr>
        <w:t>中医详细描述舌象（可附带图片）、脉象，西医提供关键理化指标。关键要素撰写可参考首诊规范。如有描述经治疗后患者病情最后结局，可提供真实、客观的疗效证据，如国际公认的疗效评价指标等。</w:t>
      </w:r>
    </w:p>
    <w:p w14:paraId="6ECEB742">
      <w:pPr>
        <w:ind w:left="-420" w:leftChars="-200" w:firstLine="480" w:firstLineChars="200"/>
        <w:rPr>
          <w:rFonts w:ascii="Times New Roman" w:hAnsi="Times New Roman" w:eastAsia="宋体" w:cs="Times New Roman"/>
          <w:color w:val="000000" w:themeColor="text1"/>
          <w:sz w:val="24"/>
          <w14:textFill>
            <w14:solidFill>
              <w14:schemeClr w14:val="tx1"/>
            </w14:solidFill>
          </w14:textFill>
        </w:rPr>
      </w:pPr>
    </w:p>
    <w:p w14:paraId="0B5948EE">
      <w:pPr>
        <w:numPr>
          <w:ilvl w:val="0"/>
          <w:numId w:val="1"/>
        </w:numPr>
        <w:rPr>
          <w:rFonts w:ascii="Times New Roman" w:hAnsi="Times New Roman" w:eastAsia="宋体" w:cs="Times New Roman"/>
          <w:b/>
          <w:bCs/>
          <w:sz w:val="24"/>
        </w:rPr>
      </w:pPr>
      <w:r>
        <w:rPr>
          <w:rFonts w:ascii="Times New Roman" w:hAnsi="Times New Roman" w:eastAsia="宋体" w:cs="Times New Roman"/>
          <w:b/>
          <w:bCs/>
          <w:sz w:val="24"/>
        </w:rPr>
        <w:t>三诊</w:t>
      </w:r>
    </w:p>
    <w:p w14:paraId="7B4F7FF0">
      <w:pPr>
        <w:ind w:left="-420" w:leftChars="-200" w:firstLine="482" w:firstLineChars="200"/>
        <w:rPr>
          <w:rFonts w:ascii="Times New Roman" w:hAnsi="Times New Roman" w:eastAsia="宋体" w:cs="Times New Roman"/>
          <w:b/>
          <w:bCs/>
          <w:sz w:val="24"/>
        </w:rPr>
      </w:pPr>
      <w:r>
        <w:rPr>
          <w:rFonts w:ascii="Times New Roman" w:hAnsi="Times New Roman" w:eastAsia="宋体" w:cs="Times New Roman"/>
          <w:b/>
          <w:bCs/>
          <w:sz w:val="24"/>
        </w:rPr>
        <w:t>三诊（xxxx年xx月xx日）</w:t>
      </w:r>
    </w:p>
    <w:p w14:paraId="33EC2435">
      <w:pPr>
        <w:ind w:left="-420" w:leftChars="-200" w:firstLine="480" w:firstLineChars="200"/>
        <w:rPr>
          <w:rFonts w:ascii="Times New Roman" w:hAnsi="Times New Roman" w:eastAsia="宋体" w:cs="Times New Roman"/>
          <w:color w:val="000000" w:themeColor="text1"/>
          <w:sz w:val="24"/>
          <w14:textFill>
            <w14:solidFill>
              <w14:schemeClr w14:val="tx1"/>
            </w14:solidFill>
          </w14:textFill>
        </w:rPr>
      </w:pPr>
      <w:r>
        <w:rPr>
          <w:rFonts w:ascii="Times New Roman" w:hAnsi="Times New Roman" w:eastAsia="宋体" w:cs="Times New Roman"/>
          <w:color w:val="000000" w:themeColor="text1"/>
          <w:sz w:val="24"/>
          <w14:textFill>
            <w14:solidFill>
              <w14:schemeClr w14:val="tx1"/>
            </w14:solidFill>
          </w14:textFill>
        </w:rPr>
        <w:t>描述二诊后病情变化及方案调整，余同二诊。</w:t>
      </w:r>
    </w:p>
    <w:p w14:paraId="0535CF36">
      <w:pPr>
        <w:ind w:left="-420" w:leftChars="-200" w:firstLine="480" w:firstLineChars="200"/>
        <w:rPr>
          <w:rFonts w:ascii="Times New Roman" w:hAnsi="Times New Roman" w:eastAsia="宋体" w:cs="Times New Roman"/>
          <w:color w:val="0000FF"/>
          <w:sz w:val="24"/>
        </w:rPr>
      </w:pPr>
      <w:r>
        <w:rPr>
          <w:rFonts w:ascii="Times New Roman" w:hAnsi="Times New Roman" w:eastAsia="宋体" w:cs="Times New Roman"/>
          <w:color w:val="000000" w:themeColor="text1"/>
          <w:sz w:val="24"/>
          <w14:textFill>
            <w14:solidFill>
              <w14:schemeClr w14:val="tx1"/>
            </w14:solidFill>
          </w14:textFill>
        </w:rPr>
        <w:br w:type="textWrapping"/>
      </w:r>
      <w:r>
        <w:rPr>
          <w:rFonts w:ascii="Times New Roman" w:hAnsi="Times New Roman" w:eastAsia="宋体" w:cs="Times New Roman"/>
          <w:color w:val="0000FF"/>
          <w:sz w:val="24"/>
        </w:rPr>
        <w:t>示例：三诊（2024年04月25日）：刻下症：现月经周期第7天，LMP：2024年04月19日，5天净，量中，色红，多块，稍痛经，小腹胀痛。神疲乏力，情绪焦虑好转，纳眠可，二便调，舌暗红，苔薄白，脉弦滑。辅助检查：（2024-03-19四川大学华西第二医院）胰岛素释放试验：0.5h INS：162.68 μIU/mL↑；1h INS：123.03 μIU/mL↑；2h INS：203.92 μIU/mL↑；OGTT：2h血糖：8.99 mmol/L↑，余正常；维生素D：13.7 ng/mL↓；狼疮抗凝物检测：LAI：39.6↑；自身免疫抗体谱、抗精子抗体、抗子宫内膜抗体、</w:t>
      </w:r>
      <w:r>
        <w:rPr>
          <w:rFonts w:ascii="Times New Roman" w:hAnsi="Times New Roman" w:eastAsia="宋体" w:cs="Times New Roman"/>
          <w:i/>
          <w:iCs/>
          <w:color w:val="0000FF"/>
          <w:sz w:val="24"/>
        </w:rPr>
        <w:t>D</w:t>
      </w:r>
      <w:r>
        <w:rPr>
          <w:rFonts w:ascii="Times New Roman" w:hAnsi="Times New Roman" w:eastAsia="宋体" w:cs="Times New Roman"/>
          <w:color w:val="0000FF"/>
          <w:sz w:val="24"/>
        </w:rPr>
        <w:t>二聚体、同型半胱氨酸未见异常。补充诊断：血栓前状态。中医辨证为脾肾不足，肝郁血瘀证，此时为经后期，治以补肾健脾益气，疏肝活血通络，予四子四君玉屏风散加疏肝活血通络之品：盐大菟丝子15 g、盐覆盆子15 g、枸杞子15 g、桑椹15 g、党参15 g、麸炒白术15 g、茯苓15 g、炙甘草5 g、黄芪20 g、防风10 g、丝瓜络15 g、路路通15 g、鸡血藤15 g、灵芝10 g、陈皮15g、四制香附15 g，共8剂，煎服法同前。嘱患者继服二甲双胍，继予耳针、穴位贴敷治疗。嘱咐患者监测卵泡等。</w:t>
      </w:r>
    </w:p>
    <w:p w14:paraId="7C5B08CE">
      <w:pPr>
        <w:ind w:left="-420" w:leftChars="-200" w:firstLine="480" w:firstLineChars="200"/>
        <w:rPr>
          <w:rFonts w:ascii="Times New Roman" w:hAnsi="Times New Roman" w:eastAsia="宋体" w:cs="Times New Roman"/>
          <w:color w:val="0000FF"/>
          <w:sz w:val="24"/>
        </w:rPr>
      </w:pPr>
    </w:p>
    <w:p w14:paraId="4B6DBDE6">
      <w:pPr>
        <w:ind w:left="-420" w:leftChars="-200" w:firstLine="420" w:firstLineChars="200"/>
        <w:rPr>
          <w:rFonts w:ascii="Times New Roman" w:hAnsi="Times New Roman" w:eastAsia="宋体" w:cs="Times New Roman"/>
          <w:color w:val="FF0000"/>
        </w:rPr>
      </w:pPr>
      <w:r>
        <w:rPr>
          <w:rFonts w:ascii="Times New Roman" w:hAnsi="Times New Roman" w:eastAsia="宋体" w:cs="Times New Roman"/>
          <w:color w:val="FF0000"/>
        </w:rPr>
        <w:t>要点须知：</w:t>
      </w:r>
    </w:p>
    <w:p w14:paraId="4C1AEC28">
      <w:pPr>
        <w:ind w:left="-420" w:leftChars="-200" w:firstLine="420" w:firstLineChars="200"/>
        <w:rPr>
          <w:rFonts w:ascii="Times New Roman" w:hAnsi="Times New Roman" w:eastAsia="宋体" w:cs="Times New Roman"/>
          <w:color w:val="FF0000"/>
        </w:rPr>
      </w:pPr>
      <w:r>
        <w:rPr>
          <w:rFonts w:ascii="Times New Roman" w:hAnsi="Times New Roman" w:eastAsia="宋体" w:cs="Times New Roman"/>
          <w:color w:val="FF0000"/>
        </w:rPr>
        <w:t>关键要素撰写可参考首诊规范。如有描述经治疗后患者病情最后结局，可提供真实、客观的疗效证据，如国际公认的疗效评价指标等。</w:t>
      </w:r>
    </w:p>
    <w:p w14:paraId="3FE29EEF">
      <w:pPr>
        <w:ind w:left="-420" w:leftChars="-200" w:firstLine="420" w:firstLineChars="200"/>
        <w:rPr>
          <w:rFonts w:ascii="Times New Roman" w:hAnsi="Times New Roman" w:eastAsia="宋体" w:cs="Times New Roman"/>
          <w:color w:val="FF0000"/>
        </w:rPr>
      </w:pPr>
    </w:p>
    <w:p w14:paraId="73F81FF2">
      <w:pPr>
        <w:rPr>
          <w:rFonts w:ascii="Times New Roman" w:hAnsi="Times New Roman" w:eastAsia="宋体" w:cs="Times New Roman"/>
          <w:b/>
          <w:bCs/>
          <w:sz w:val="24"/>
        </w:rPr>
      </w:pPr>
      <w:r>
        <w:rPr>
          <w:rFonts w:ascii="Times New Roman" w:hAnsi="Times New Roman" w:eastAsia="宋体" w:cs="Times New Roman"/>
          <w:b/>
          <w:bCs/>
          <w:sz w:val="24"/>
        </w:rPr>
        <w:t>四、（如涉及第四诊或者第五诊等多次诊断的以此类推）</w:t>
      </w:r>
      <w:r>
        <w:rPr>
          <w:rFonts w:ascii="Times New Roman" w:hAnsi="Times New Roman" w:eastAsia="宋体" w:cs="Times New Roman"/>
          <w:b/>
          <w:bCs/>
          <w:sz w:val="24"/>
        </w:rPr>
        <w:br w:type="textWrapping"/>
      </w:r>
    </w:p>
    <w:p w14:paraId="10EE810D">
      <w:pPr>
        <w:ind w:left="-420" w:leftChars="-200" w:firstLine="482" w:firstLineChars="200"/>
        <w:rPr>
          <w:rFonts w:ascii="Times New Roman" w:hAnsi="Times New Roman" w:eastAsia="宋体" w:cs="Times New Roman"/>
          <w:color w:val="0000FF"/>
          <w:sz w:val="24"/>
        </w:rPr>
      </w:pPr>
      <w:r>
        <w:rPr>
          <w:rFonts w:ascii="Times New Roman" w:hAnsi="Times New Roman" w:eastAsia="宋体" w:cs="Times New Roman"/>
          <w:b/>
          <w:bCs/>
          <w:sz w:val="24"/>
        </w:rPr>
        <w:t>五、疗效转归</w:t>
      </w:r>
      <w:r>
        <w:rPr>
          <w:rFonts w:ascii="Times New Roman" w:hAnsi="Times New Roman" w:eastAsia="宋体" w:cs="Times New Roman"/>
          <w:b/>
          <w:bCs/>
          <w:sz w:val="24"/>
        </w:rPr>
        <w:br w:type="textWrapping"/>
      </w:r>
      <w:r>
        <w:rPr>
          <w:rFonts w:ascii="Times New Roman" w:hAnsi="Times New Roman" w:eastAsia="宋体" w:cs="Times New Roman"/>
          <w:sz w:val="24"/>
        </w:rPr>
        <w:t>描述各治疗过程中病情变化要点及方案调整情况。</w:t>
      </w:r>
      <w:r>
        <w:rPr>
          <w:rFonts w:ascii="Times New Roman" w:hAnsi="Times New Roman" w:eastAsia="宋体" w:cs="Times New Roman"/>
          <w:sz w:val="24"/>
        </w:rPr>
        <w:br w:type="textWrapping"/>
      </w:r>
      <w:r>
        <w:rPr>
          <w:rFonts w:ascii="Times New Roman" w:hAnsi="Times New Roman" w:eastAsia="宋体" w:cs="Times New Roman"/>
          <w:color w:val="0000FF"/>
          <w:sz w:val="24"/>
        </w:rPr>
        <w:t>示例：本患者老年男性，以胸闷、喘憋为主症，早期劳累后胸闷气短，随着病情发展心悸频发，夜间不能平卧，超声心动图（UCG）提示左室壁运动普遍减低，左心扩大、右房扩大、二、三尖瓣轻度返流、左室收缩功能减低（LVEF：37%），符合中医心衰病范畴，冠脉造影除外冠心病导致心衰，根据病史及UCG除外高血压、心脏瓣膜病、先天性心脏病等，故考虑心衰病因是扩张型心肌病（DCM），DCM以心室扩大和收缩功能障碍为特征，导致心输出量降低、心室充盈压升高，进而引发心衰症状。本例患者LVEF显著降低至37%、NT-proBNP升高（5 870~6 328 pg/mL）及房颤，均符合DCM进展为心衰的典型表现。经入院规范化抗心衰治疗后症状有所缓解，但仍存明显喘憋、乏力、自汗、纳差、便溏等心脾两虚、宗气下陷之证，遂来门诊就诊。</w:t>
      </w:r>
    </w:p>
    <w:p w14:paraId="28D98633">
      <w:pPr>
        <w:ind w:left="-420" w:leftChars="-200"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综合四诊信息患者活动后胸闷憋气，夜间尤重，易憋醒，不能平卧，伴有乏力、多汗，纳差，大便不成形，考虑辨证为心脾两虚证，宗气下陷。心主血脉，心主神明、汗为心之液。由于心气虚衰，心动无力，气血运行不畅则见气短、乏力、心悸、胸闷憋气，不能平卧。气虚腠理不固，心液外泄故见多汗。脾胃为营卫气血生化之源，脾胃气虚，纳运乏力，故见饮食减少，大便稀溏，四肢乏力。舌暗脉沉细均为患者心脾气虚，宗气下陷之证。故首诊治疗原则为：益气升阳、养阴敛汗。以补中益气汤合生脉散加减。</w:t>
      </w:r>
    </w:p>
    <w:p w14:paraId="3BFE0807">
      <w:pPr>
        <w:ind w:left="-420" w:leftChars="-200"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方中生芪、炒白术、党参补益心肺脾胃之气，发挥补益中气、益气固表止汗之功，陈皮既可助参、芪补气之力又可防补气之药过于壅塞，正如清罗美《古今名医方论》：“凡脾胃一虚，肺气先绝，故用黄芪护皮毛而闭腠理，不令自汗；元气不足，懒言气喘，人参以补之；佐白术以健脾；当归以和血；气乱于胸，清浊相干，用陈皮以理之，且以散诸甘药之滞，此用药有相须之妙也。”升麻、柴胡、桔梗、苏子四药有升有降，调节人体气机之循环，一方面协助补气药物上升，同时又可引药物入于下焦，山萸肉、煅龙骨、煅牡蛎补益肝肾、收敛固涩、重镇降逆引药物入下焦培补肾中之阳气，乃是顾护肾阳之表现，麦冬、五味子、山药滋补津液、敛阴止汗、补益脾胃，防风固表止汗蕴含玉屏风散之意。同时合生脉散如明代名医吴崑所说：本方“一补、一清、一敛，养气之道备矣。名曰生脉，以脉得气则充，失气则弱”。</w:t>
      </w:r>
    </w:p>
    <w:p w14:paraId="1B86C28C">
      <w:pPr>
        <w:ind w:left="-420" w:leftChars="-200"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二诊患者气虚之证仍在，加大益气养阴补肾之黄芪、麦冬、山萸肉的剂量，针对患者舌苔水滑等痰湿之象，加用前胡降气化痰，葛根升发清阳，鼓舞胃气上行，以绝生痰之源，同时前胡、葛根一升一降亦蕴含调节气机升降之意。</w:t>
      </w:r>
    </w:p>
    <w:p w14:paraId="1BE22BB6">
      <w:pPr>
        <w:ind w:left="-420" w:leftChars="-200"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两年后复诊活动耐量已恢复正常，症状消失，继以益气健脾大法巩固治疗，方中生黄芪从30g渐增至100 g，与防风并用，扶正气、升清阳，加一味白术，为玉屏风散，可用于表虚自汗，以及虚人易感风邪者；四君子汤参苓白术健脾补气，同时考虑气虚日久必损心阳，脾肾阳虚，故后加用温补肾阳之附子、淫羊藿、更用涩肠收敛的赤石脂、芡实，兼顾心脾肾诸脏。</w:t>
      </w:r>
    </w:p>
    <w:p w14:paraId="4EB39718">
      <w:pPr>
        <w:ind w:left="-420" w:leftChars="-200"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气行则血行，气虚则血滞。心衰病血瘀贯穿始终，患者舌暗胸闷为血瘀之象，但患者因房颤长期服用利伐沙班，考虑中药活血化瘀之品与西药同用避免出血倾向，故没有用破血的三棱莪术，配有三七粉、降香、红景天、仙鹤草等比较温和的活血祛瘀之品。</w:t>
      </w:r>
    </w:p>
    <w:p w14:paraId="5AB8537A">
      <w:pPr>
        <w:ind w:left="-420" w:leftChars="-200"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“气、血、水”为中医心衰的基本病机，患者虽然水肿不明显，但从中医理论考虑，加强了健脾利水，茯苓用到30 g。</w:t>
      </w:r>
    </w:p>
    <w:p w14:paraId="6C674E67">
      <w:pPr>
        <w:ind w:left="-420" w:leftChars="-200"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历经3年余规律的门诊治疗后，喘憋、乏力、气短等症状消失，运动耐量较前明显增加，生活如常人。超声心动图显示左室舒张径、左室收缩径、左室短轴缩短率较前明显缩小，心脏结构逆转，左室舒张径（60 mm→51 mm）和LVEF提升（37%→63%）表明，中医治疗可能通过改善心肌能量代谢（益气）和减轻纤维化（活血）发挥作用，从而显著改善心脏功能，提升了患者的生活质量。</w:t>
      </w:r>
    </w:p>
    <w:p w14:paraId="5237B283">
      <w:pPr>
        <w:ind w:left="-420" w:leftChars="-200" w:firstLine="420" w:firstLineChars="200"/>
        <w:jc w:val="center"/>
        <w:rPr>
          <w:rFonts w:ascii="Times New Roman" w:hAnsi="Times New Roman" w:eastAsia="宋体" w:cs="Times New Roman"/>
          <w:color w:val="0000FF"/>
          <w:sz w:val="24"/>
        </w:rPr>
      </w:pPr>
      <w:r>
        <w:rPr>
          <w:rFonts w:ascii="Times New Roman" w:hAnsi="Times New Roman" w:eastAsia="宋体" w:cs="Times New Roman"/>
        </w:rPr>
        <w:drawing>
          <wp:inline distT="0" distB="0" distL="114300" distR="114300">
            <wp:extent cx="4424680" cy="2300605"/>
            <wp:effectExtent l="0" t="0" r="13970" b="4445"/>
            <wp:docPr id="2" name="图片 2" descr="企业微信截图_1758456137556"/>
            <wp:cNvGraphicFramePr/>
            <a:graphic xmlns:a="http://schemas.openxmlformats.org/drawingml/2006/main">
              <a:graphicData uri="http://schemas.openxmlformats.org/drawingml/2006/picture">
                <pic:pic xmlns:pic="http://schemas.openxmlformats.org/drawingml/2006/picture">
                  <pic:nvPicPr>
                    <pic:cNvPr id="2" name="图片 2" descr="企业微信截图_1758456137556"/>
                    <pic:cNvPicPr/>
                  </pic:nvPicPr>
                  <pic:blipFill>
                    <a:blip r:embed="rId4"/>
                    <a:srcRect/>
                    <a:stretch>
                      <a:fillRect/>
                    </a:stretch>
                  </pic:blipFill>
                  <pic:spPr>
                    <a:xfrm>
                      <a:off x="0" y="0"/>
                      <a:ext cx="4424680" cy="2300605"/>
                    </a:xfrm>
                    <a:prstGeom prst="rect">
                      <a:avLst/>
                    </a:prstGeom>
                    <a:noFill/>
                    <a:ln>
                      <a:noFill/>
                    </a:ln>
                    <a:effectLst/>
                  </pic:spPr>
                </pic:pic>
              </a:graphicData>
            </a:graphic>
          </wp:inline>
        </w:drawing>
      </w:r>
    </w:p>
    <w:p w14:paraId="3DC8376A">
      <w:pPr>
        <w:ind w:left="-420" w:leftChars="-200" w:firstLine="480" w:firstLineChars="200"/>
        <w:rPr>
          <w:rFonts w:ascii="Times New Roman" w:hAnsi="Times New Roman" w:eastAsia="宋体" w:cs="Times New Roman"/>
          <w:color w:val="0000FF"/>
          <w:sz w:val="24"/>
        </w:rPr>
      </w:pPr>
    </w:p>
    <w:p w14:paraId="45029F98">
      <w:pPr>
        <w:ind w:left="-420" w:leftChars="-200" w:firstLine="420" w:firstLineChars="200"/>
        <w:rPr>
          <w:rFonts w:ascii="Times New Roman" w:hAnsi="Times New Roman" w:eastAsia="宋体" w:cs="Times New Roman"/>
          <w:color w:val="FF0000"/>
        </w:rPr>
      </w:pPr>
      <w:r>
        <w:rPr>
          <w:rFonts w:ascii="Times New Roman" w:hAnsi="Times New Roman" w:eastAsia="宋体" w:cs="Times New Roman"/>
          <w:color w:val="FF0000"/>
        </w:rPr>
        <w:t>要点须知：</w:t>
      </w:r>
    </w:p>
    <w:p w14:paraId="10B16C01">
      <w:pPr>
        <w:rPr>
          <w:rFonts w:ascii="Times New Roman" w:hAnsi="Times New Roman" w:eastAsia="宋体" w:cs="Times New Roman"/>
          <w:color w:val="FF0000"/>
        </w:rPr>
      </w:pPr>
      <w:r>
        <w:rPr>
          <w:rFonts w:ascii="Times New Roman" w:hAnsi="Times New Roman" w:eastAsia="宋体" w:cs="Times New Roman"/>
          <w:color w:val="FF0000"/>
        </w:rPr>
        <w:t>1.医案的疗效评价指标、安全性评价指标等核心信息建议参考最新的相关标准（国家标准、行业标准、中华中医药学会团体标准以及专家共识均可）或权威教材，并注明出处；</w:t>
      </w:r>
      <w:r>
        <w:rPr>
          <w:rFonts w:ascii="Times New Roman" w:hAnsi="Times New Roman" w:eastAsia="宋体" w:cs="Times New Roman"/>
          <w:color w:val="FF0000"/>
        </w:rPr>
        <w:br w:type="textWrapping"/>
      </w:r>
      <w:r>
        <w:rPr>
          <w:rFonts w:ascii="Times New Roman" w:hAnsi="Times New Roman" w:eastAsia="宋体" w:cs="Times New Roman"/>
          <w:color w:val="FF0000"/>
        </w:rPr>
        <w:t>2.鼓励构建符合中医药特点的临床疗效评价体系。鼓励患者可量化的自我评价指标。鼓励采用国际公认的疗效评价指标；</w:t>
      </w:r>
      <w:r>
        <w:rPr>
          <w:rFonts w:ascii="Times New Roman" w:hAnsi="Times New Roman" w:eastAsia="宋体" w:cs="Times New Roman"/>
          <w:color w:val="FF0000"/>
        </w:rPr>
        <w:br w:type="textWrapping"/>
      </w:r>
      <w:r>
        <w:rPr>
          <w:rFonts w:ascii="Times New Roman" w:hAnsi="Times New Roman" w:eastAsia="宋体" w:cs="Times New Roman"/>
          <w:color w:val="FF0000"/>
        </w:rPr>
        <w:t>3.首选国际通用金标准。其次行业标准。再次专家共识。亦可自拟经信效度验证的量表，如证候积分、症状缓解率、第三方随访（非医生本人）患者评价满意度等，量表均需经信效度验证；</w:t>
      </w:r>
    </w:p>
    <w:p w14:paraId="0189176B">
      <w:pPr>
        <w:ind w:left="-420" w:leftChars="-200" w:firstLine="420" w:firstLineChars="200"/>
        <w:rPr>
          <w:rFonts w:ascii="Times New Roman" w:hAnsi="Times New Roman" w:eastAsia="宋体" w:cs="Times New Roman"/>
          <w:color w:val="FF0000"/>
        </w:rPr>
      </w:pPr>
      <w:r>
        <w:rPr>
          <w:rFonts w:ascii="Times New Roman" w:hAnsi="Times New Roman" w:eastAsia="宋体" w:cs="Times New Roman"/>
          <w:color w:val="FF0000"/>
        </w:rPr>
        <w:t>4.有可以体现疗效转归的客观证据，如四诊信息、辅助检查等照片和数据支持。</w:t>
      </w:r>
      <w:r>
        <w:rPr>
          <w:rFonts w:ascii="Times New Roman" w:hAnsi="Times New Roman" w:eastAsia="宋体" w:cs="Times New Roman"/>
          <w:color w:val="FF0000"/>
        </w:rPr>
        <w:br w:type="textWrapping"/>
      </w:r>
    </w:p>
    <w:p w14:paraId="03540811">
      <w:pPr>
        <w:ind w:left="-420" w:leftChars="-200" w:firstLine="482" w:firstLineChars="200"/>
        <w:jc w:val="center"/>
        <w:rPr>
          <w:rFonts w:ascii="Times New Roman" w:hAnsi="Times New Roman" w:eastAsia="宋体" w:cs="Times New Roman"/>
          <w:b/>
          <w:kern w:val="0"/>
          <w:sz w:val="24"/>
        </w:rPr>
      </w:pPr>
      <w:r>
        <w:rPr>
          <w:rFonts w:ascii="Times New Roman" w:hAnsi="Times New Roman" w:eastAsia="宋体" w:cs="Times New Roman"/>
          <w:b/>
          <w:kern w:val="0"/>
          <w:sz w:val="24"/>
        </w:rPr>
        <w:t>临证体会</w:t>
      </w:r>
      <w:r>
        <w:rPr>
          <w:rFonts w:ascii="Times New Roman" w:hAnsi="Times New Roman" w:eastAsia="宋体" w:cs="Times New Roman"/>
          <w:b/>
          <w:kern w:val="0"/>
          <w:sz w:val="24"/>
        </w:rPr>
        <w:br w:type="textWrapping"/>
      </w:r>
    </w:p>
    <w:p w14:paraId="49C61D63">
      <w:pPr>
        <w:ind w:left="-420" w:leftChars="-200" w:firstLine="480" w:firstLineChars="200"/>
        <w:rPr>
          <w:rFonts w:ascii="Times New Roman" w:hAnsi="Times New Roman" w:eastAsia="宋体" w:cs="Times New Roman"/>
          <w:bCs/>
          <w:kern w:val="0"/>
          <w:sz w:val="24"/>
        </w:rPr>
      </w:pPr>
      <w:r>
        <w:rPr>
          <w:rFonts w:ascii="Times New Roman" w:hAnsi="Times New Roman" w:eastAsia="宋体" w:cs="Times New Roman"/>
          <w:bCs/>
          <w:kern w:val="0"/>
          <w:sz w:val="24"/>
        </w:rPr>
        <w:t>①应包括对类似已发表案例的简要回顾，如果未见报道的病例需要补充鉴别诊断的讨论。</w:t>
      </w:r>
    </w:p>
    <w:p w14:paraId="5062408E">
      <w:pPr>
        <w:ind w:left="-420" w:leftChars="-200"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示例：近年来不孕不育患病率逐年上升，全球不孕不育率约为17.8%，中国不孕不育夫妻人数在2020年达5050万。在此背景下，辅助生殖技术（Assisted reproductive technology，ART）在不孕症的治疗中取得了显著进展，每年辅助生殖周期超过100-130万以上，但由于引起不孕症的病因错综复杂，ART总体成功率并不理想。我国2019年ART数据统计显示，在寻求ART的不孕女性中有28.61%为35岁以上，其中有8.18%为38~40岁。女性年龄是影响生育力及妊娠结局的独立危险因素，也与辅助生殖妊娠结局明确相关。高龄女性因其卵母细胞质量受损，表现为胚胎染色体非整倍体发生率增加，且同样面临不孕、高流产率、低活产率、不良出生结局等严峻现状。不仅如此，影响生育的妇科疾病如子宫肌瘤、子宫内膜病变和内分泌、免疫系统疾病等发病率亦随年龄增长而升高。因此，如何提高女性生育能力，特别是针对高龄不孕女性助孕策略，根据影响不孕的诸多因素，制定个体化治疗方案，改善妊娠结局，成为目前妇科领域亟待解决的难点问题。</w:t>
      </w:r>
      <w:r>
        <w:rPr>
          <w:rFonts w:ascii="Times New Roman" w:hAnsi="Times New Roman" w:eastAsia="宋体" w:cs="Times New Roman"/>
          <w:color w:val="0000FF"/>
          <w:sz w:val="24"/>
        </w:rPr>
        <w:br w:type="textWrapping"/>
      </w:r>
      <w:r>
        <w:rPr>
          <w:rFonts w:ascii="Times New Roman" w:hAnsi="Times New Roman" w:eastAsia="宋体" w:cs="Times New Roman"/>
          <w:color w:val="0000FF"/>
          <w:sz w:val="24"/>
        </w:rPr>
        <w:br w:type="textWrapping"/>
      </w:r>
      <w:r>
        <w:rPr>
          <w:rFonts w:hint="eastAsia" w:ascii="Times New Roman" w:hAnsi="Times New Roman" w:eastAsia="宋体" w:cs="Times New Roman"/>
          <w:color w:val="0000FF"/>
          <w:sz w:val="24"/>
        </w:rPr>
        <w:t xml:space="preserve">    </w:t>
      </w:r>
      <w:r>
        <w:rPr>
          <w:rFonts w:ascii="Times New Roman" w:hAnsi="Times New Roman" w:eastAsia="宋体" w:cs="Times New Roman"/>
          <w:bCs/>
          <w:kern w:val="0"/>
          <w:sz w:val="24"/>
        </w:rPr>
        <w:t>②在讨论里着重围绕本病例的诊治难点是什么。本病西医治疗的瓶颈。</w:t>
      </w:r>
      <w:r>
        <w:rPr>
          <w:rFonts w:ascii="Times New Roman" w:hAnsi="Times New Roman" w:eastAsia="宋体" w:cs="Times New Roman"/>
          <w:bCs/>
          <w:kern w:val="0"/>
          <w:sz w:val="24"/>
        </w:rPr>
        <w:br w:type="textWrapping"/>
      </w:r>
      <w:r>
        <w:rPr>
          <w:rFonts w:ascii="Times New Roman" w:hAnsi="Times New Roman" w:eastAsia="宋体" w:cs="Times New Roman"/>
          <w:bCs/>
          <w:kern w:val="0"/>
          <w:sz w:val="24"/>
        </w:rPr>
        <w:t xml:space="preserve">    </w:t>
      </w:r>
      <w:r>
        <w:rPr>
          <w:rFonts w:ascii="Times New Roman" w:hAnsi="Times New Roman" w:eastAsia="宋体" w:cs="Times New Roman"/>
          <w:color w:val="0000FF"/>
          <w:sz w:val="24"/>
        </w:rPr>
        <w:t>示例：魏绍斌教授认为本案例治疗难点有三：一为高龄不孕女性，虽月经规律来潮、生殖激素正常，但卵母细胞质量下降，胚胎染色体非整倍体的发生率增高，且孕后多有黄体功能不足，囊胚与子宫内膜发育不同步，难以着床发育，从而导致胚胎种植失败、流产或复发性流产。二为免疫因素，母体免疫学异常是反复IVF-ET失败的病因之一，本案例患者合并狼疮抗凝物阳性，可能会损伤母-胎界面内皮细胞，形成局部微血栓，增加流产风险，导致不良妊娠结局。三为高胰岛素血症和亚临床甲状腺功能减退，前者不仅会降低子宫糖基化蛋白，导致子宫内膜能量稳态失衡，同时亦损伤血管内皮，减少一氧化氮的产生导致血管收缩，从而影响胚胎植入和妊娠维持；后者可增加育龄期女性不孕发生率，亦是导致不良妊娠结局的重要影响因素。西医主要予以黄体支持、改善子宫内膜容受性、改善血栓前状态、纠正免疫紊乱等治疗措施，部分患者可能获得成功妊娠，但若合并诸多影响不孕的因素，如不孕年限、高龄、内分泌疾病、免疫失调等，则难以提高胚胎种植率和活产率。</w:t>
      </w:r>
      <w:r>
        <w:rPr>
          <w:rFonts w:ascii="Times New Roman" w:hAnsi="Times New Roman" w:eastAsia="宋体" w:cs="Times New Roman"/>
          <w:color w:val="0000FF"/>
          <w:sz w:val="24"/>
        </w:rPr>
        <w:br w:type="textWrapping"/>
      </w:r>
      <w:r>
        <w:rPr>
          <w:rFonts w:ascii="Times New Roman" w:hAnsi="Times New Roman" w:eastAsia="宋体" w:cs="Times New Roman"/>
          <w:color w:val="0000FF"/>
          <w:sz w:val="24"/>
        </w:rPr>
        <w:br w:type="textWrapping"/>
      </w:r>
      <w:r>
        <w:rPr>
          <w:rFonts w:hint="eastAsia" w:ascii="Times New Roman" w:hAnsi="Times New Roman" w:eastAsia="宋体" w:cs="Times New Roman"/>
          <w:color w:val="0000FF"/>
          <w:sz w:val="24"/>
        </w:rPr>
        <w:t xml:space="preserve">    </w:t>
      </w:r>
      <w:r>
        <w:rPr>
          <w:rFonts w:ascii="Times New Roman" w:hAnsi="Times New Roman" w:eastAsia="宋体" w:cs="Times New Roman"/>
          <w:color w:val="000000" w:themeColor="text1"/>
          <w:sz w:val="24"/>
          <w14:textFill>
            <w14:solidFill>
              <w14:schemeClr w14:val="tx1"/>
            </w14:solidFill>
          </w14:textFill>
        </w:rPr>
        <w:t>③与同类案例或临床研究进行比较分析，既往案例的学习过程，学术传承路径，提炼本治疗方案的优势。</w:t>
      </w:r>
      <w:r>
        <w:rPr>
          <w:rFonts w:ascii="Times New Roman" w:hAnsi="Times New Roman" w:eastAsia="宋体" w:cs="Times New Roman"/>
          <w:color w:val="000000" w:themeColor="text1"/>
          <w:sz w:val="24"/>
          <w14:textFill>
            <w14:solidFill>
              <w14:schemeClr w14:val="tx1"/>
            </w14:solidFill>
          </w14:textFill>
        </w:rPr>
        <w:br w:type="textWrapping"/>
      </w:r>
      <w:r>
        <w:rPr>
          <w:rFonts w:ascii="Times New Roman" w:hAnsi="Times New Roman" w:eastAsia="宋体" w:cs="Times New Roman"/>
          <w:color w:val="000000" w:themeColor="text1"/>
          <w:sz w:val="24"/>
          <w14:textFill>
            <w14:solidFill>
              <w14:schemeClr w14:val="tx1"/>
            </w14:solidFill>
          </w14:textFill>
        </w:rPr>
        <w:t xml:space="preserve">    </w:t>
      </w:r>
      <w:r>
        <w:rPr>
          <w:rFonts w:ascii="Times New Roman" w:hAnsi="Times New Roman" w:eastAsia="宋体" w:cs="Times New Roman"/>
          <w:color w:val="0000FF"/>
          <w:sz w:val="24"/>
        </w:rPr>
        <w:t>示例：本案例根据其病史和临床表现，归属于中医“不孕”“屡孕屡堕”“滑胎”等病范畴。魏绍斌教授认为本案例脾肾亏虚为本，肝郁血瘀为标，病机虚实互见又错综复杂。《上古天真论》言：“六七，三阳脉衰于上，面皆焦，发始白”，究其本源为脾虚气血失荣，肾虚精血不足。《傅青主女科》种子篇则强调“精满则子宫易于摄精，血足则子宫易于容物，皆有子之道也”，若肾精亏虚，气血不足，胞宫则难以摄精成孕。“胞络者系于肾”，胎孕初凝不离肾精充足，胎元之固在于肾气充盛，若肾精不足，结胎不实，肾气亏虚，系胞无力，则胎元虽成，但仍有欲堕之势。因“胎茎系于脾”，《女科经纶》曰“保胎之法，节斋之论，在养脾胃其本也。”若脾虚气血乏源，既难以载胎养胎，更难以充养先天肾精、滋养胎元，以致屡孕屡堕。患者高龄、久不受孕、反复IVF-ET失败，且有两次自然流产，生育压力倍增，以致肝气郁结，冲任不能相资，亦难以摄精成孕。既往流产清宫史，金刃损伤又致瘀阻胞宫胞脉，新血难生，胚胎则难以着床和孕育生长。川派中医妇科源远流长，名家荟萃，在不孕症、滑胎的治疗方面形成了独特的学术思想体系、临床治法特点，重视肝脾肾同治、气血并调以调经助孕安胎。魏绍斌教授传承川派中医妇科名家的学术特点，善用经典名方加减化裁，并根据多年临床经验形成治疗不孕症的肝脾肾同调序贯分期助孕方案。针对本案例患者，魏绍斌教授紧扣虚实错杂的病机特点，临证分两期调治，卵泡期予补肾疏肝，养血活血通络，以促进卵泡发育和排卵，黄体期重视健脾补肾益精，调经以助孕，促进孕卵着床、胚胎发育和成功妊娠。</w:t>
      </w:r>
    </w:p>
    <w:p w14:paraId="64537428">
      <w:pPr>
        <w:ind w:left="-420" w:leftChars="-200" w:firstLine="420" w:firstLineChars="200"/>
        <w:rPr>
          <w:rFonts w:ascii="Times New Roman" w:hAnsi="Times New Roman" w:eastAsia="宋体" w:cs="Times New Roman"/>
          <w:color w:val="FF0000"/>
        </w:rPr>
      </w:pPr>
    </w:p>
    <w:p w14:paraId="709C03EF">
      <w:pPr>
        <w:ind w:left="-420" w:leftChars="-200" w:firstLine="480" w:firstLineChars="200"/>
        <w:rPr>
          <w:rFonts w:ascii="Times New Roman" w:hAnsi="Times New Roman" w:eastAsia="宋体" w:cs="Times New Roman"/>
          <w:color w:val="0000FF"/>
          <w:sz w:val="24"/>
        </w:rPr>
      </w:pPr>
      <w:r>
        <w:rPr>
          <w:rFonts w:ascii="Times New Roman" w:hAnsi="Times New Roman" w:eastAsia="宋体" w:cs="Times New Roman"/>
          <w:color w:val="000000" w:themeColor="text1"/>
          <w:sz w:val="24"/>
          <w14:textFill>
            <w14:solidFill>
              <w14:schemeClr w14:val="tx1"/>
            </w14:solidFill>
          </w14:textFill>
        </w:rPr>
        <w:t>④从本病例获取的主要经验是什么。</w:t>
      </w:r>
      <w:r>
        <w:rPr>
          <w:rFonts w:ascii="Times New Roman" w:hAnsi="Times New Roman" w:eastAsia="宋体" w:cs="Times New Roman"/>
          <w:color w:val="000000" w:themeColor="text1"/>
          <w:sz w:val="24"/>
          <w14:textFill>
            <w14:solidFill>
              <w14:schemeClr w14:val="tx1"/>
            </w14:solidFill>
          </w14:textFill>
        </w:rPr>
        <w:br w:type="textWrapping"/>
      </w:r>
      <w:r>
        <w:rPr>
          <w:rFonts w:ascii="Times New Roman" w:hAnsi="Times New Roman" w:eastAsia="宋体" w:cs="Times New Roman"/>
          <w:color w:val="0000FF"/>
          <w:sz w:val="24"/>
        </w:rPr>
        <w:t>示例：注重辨病与辨证相结合，肝脾肾同调，分期论治，身心同调，</w:t>
      </w:r>
      <w:r>
        <w:rPr>
          <w:rFonts w:ascii="Times New Roman" w:hAnsi="Times New Roman" w:eastAsia="宋体" w:cs="Times New Roman"/>
          <w:color w:val="0000FF"/>
          <w:sz w:val="24"/>
        </w:rPr>
        <w:br w:type="textWrapping"/>
      </w:r>
      <w:r>
        <w:rPr>
          <w:rFonts w:ascii="Times New Roman" w:hAnsi="Times New Roman" w:eastAsia="宋体" w:cs="Times New Roman"/>
          <w:color w:val="0000FF"/>
          <w:sz w:val="24"/>
        </w:rPr>
        <w:br w:type="textWrapping"/>
      </w:r>
      <w:r>
        <w:rPr>
          <w:rFonts w:ascii="Times New Roman" w:hAnsi="Times New Roman" w:eastAsia="宋体" w:cs="Times New Roman"/>
          <w:color w:val="000000" w:themeColor="text1"/>
          <w:sz w:val="24"/>
          <w14:textFill>
            <w14:solidFill>
              <w14:schemeClr w14:val="tx1"/>
            </w14:solidFill>
          </w14:textFill>
        </w:rPr>
        <w:t xml:space="preserve">    ⑤中医药干预措施所解决的问题是什么。</w:t>
      </w:r>
      <w:r>
        <w:rPr>
          <w:rFonts w:ascii="Times New Roman" w:hAnsi="Times New Roman" w:eastAsia="宋体" w:cs="Times New Roman"/>
          <w:color w:val="000000" w:themeColor="text1"/>
          <w:sz w:val="24"/>
          <w14:textFill>
            <w14:solidFill>
              <w14:schemeClr w14:val="tx1"/>
            </w14:solidFill>
          </w14:textFill>
        </w:rPr>
        <w:br w:type="textWrapping"/>
      </w:r>
      <w:r>
        <w:rPr>
          <w:rFonts w:ascii="Times New Roman" w:hAnsi="Times New Roman" w:eastAsia="宋体" w:cs="Times New Roman"/>
          <w:color w:val="0000FF"/>
          <w:sz w:val="24"/>
        </w:rPr>
        <w:t xml:space="preserve">    示例：魏绍斌教授详细分析病情，综合评估后认为患者虽高龄未避孕未孕4+年，有2次胚胎停育史，3次IVF-ET失败史，合并高胰岛素血症、免疫失调等多种影响不孕的因素，但双侧输卵管通畅，卵巢储备功能尚可，夫精正常，仍有自然妊娠的希望，故在诊治过程中注意疏解患者焦虑情绪，鼓励和指导患者在再次IVF-ET前调理期间尝试自然试孕，通过身心同调，终以如愿。经中医药调治后患者于第4个月经周期自然受孕，孕后予寿胎四君子汤加减补肾健脾，固任安胎，同时考虑患者合并诸多影响妊娠结局的不利因素，建议入院中西医结合保胎治疗，经住院保胎1+月后出院，现患者已孕13周，于产科建卡定期产检。本案例患者为高龄不孕且反复IVF- ET失败，病症疑难，魏绍斌教授根据患者不孕及IVF-ET反复失败的病因，注重辨病与辨证相结合，肝脾肾同调，分期论治，身心同调，最终患者成功自然妊娠，为其家庭减轻了沉重的精神压力和经济负担，收获了喜悦和幸福。这充分体现了中医药调治不孕症的特色与优势，具有重要的临床借鉴和参考价值。</w:t>
      </w:r>
      <w:r>
        <w:rPr>
          <w:rFonts w:ascii="Times New Roman" w:hAnsi="Times New Roman" w:eastAsia="宋体" w:cs="Times New Roman"/>
          <w:color w:val="0000FF"/>
          <w:sz w:val="24"/>
        </w:rPr>
        <w:br w:type="textWrapping"/>
      </w:r>
      <w:r>
        <w:rPr>
          <w:rFonts w:ascii="Times New Roman" w:hAnsi="Times New Roman" w:eastAsia="宋体" w:cs="Times New Roman"/>
          <w:color w:val="0000FF"/>
          <w:sz w:val="24"/>
        </w:rPr>
        <w:br w:type="textWrapping"/>
      </w:r>
      <w:r>
        <w:rPr>
          <w:rFonts w:ascii="Times New Roman" w:hAnsi="Times New Roman" w:eastAsia="宋体" w:cs="Times New Roman"/>
          <w:color w:val="0000FF"/>
          <w:sz w:val="24"/>
        </w:rPr>
        <w:t xml:space="preserve">    </w:t>
      </w:r>
      <w:r>
        <w:rPr>
          <w:rFonts w:ascii="Times New Roman" w:hAnsi="Times New Roman" w:eastAsia="宋体" w:cs="Times New Roman"/>
          <w:color w:val="000000" w:themeColor="text1"/>
          <w:sz w:val="24"/>
          <w14:textFill>
            <w14:solidFill>
              <w14:schemeClr w14:val="tx1"/>
            </w14:solidFill>
          </w14:textFill>
        </w:rPr>
        <w:t>⑥本案例的局限性与不足。</w:t>
      </w:r>
      <w:r>
        <w:rPr>
          <w:rFonts w:ascii="Times New Roman" w:hAnsi="Times New Roman" w:eastAsia="宋体" w:cs="Times New Roman"/>
          <w:color w:val="000000" w:themeColor="text1"/>
          <w:sz w:val="24"/>
          <w14:textFill>
            <w14:solidFill>
              <w14:schemeClr w14:val="tx1"/>
            </w14:solidFill>
          </w14:textFill>
        </w:rPr>
        <w:br w:type="textWrapping"/>
      </w:r>
      <w:r>
        <w:rPr>
          <w:rFonts w:ascii="Times New Roman" w:hAnsi="Times New Roman" w:eastAsia="宋体" w:cs="Times New Roman"/>
          <w:color w:val="0000FF"/>
          <w:sz w:val="24"/>
        </w:rPr>
        <w:t xml:space="preserve">    示例：本案例为单病例报道，其治疗效果具有一定代表性与启发意义，未来可从典型案例、连续性临床案例过渡至真实世界研究，为高龄反复IVF-ET失败的中医药治疗提供更充分的临床证据。</w:t>
      </w:r>
      <w:r>
        <w:rPr>
          <w:rFonts w:ascii="Times New Roman" w:hAnsi="Times New Roman" w:eastAsia="宋体" w:cs="Times New Roman"/>
          <w:color w:val="0000FF"/>
          <w:sz w:val="24"/>
        </w:rPr>
        <w:br w:type="textWrapping"/>
      </w:r>
      <w:r>
        <w:rPr>
          <w:rFonts w:ascii="Times New Roman" w:hAnsi="Times New Roman" w:eastAsia="宋体" w:cs="Times New Roman"/>
          <w:color w:val="0000FF"/>
          <w:sz w:val="24"/>
        </w:rPr>
        <w:br w:type="textWrapping"/>
      </w:r>
      <w:r>
        <w:rPr>
          <w:rFonts w:ascii="Times New Roman" w:hAnsi="Times New Roman" w:eastAsia="宋体" w:cs="Times New Roman"/>
          <w:color w:val="0000FF"/>
          <w:sz w:val="24"/>
        </w:rPr>
        <w:t xml:space="preserve">   </w:t>
      </w:r>
    </w:p>
    <w:p w14:paraId="2C4FED20">
      <w:pPr>
        <w:widowControl/>
        <w:tabs>
          <w:tab w:val="left" w:pos="420"/>
        </w:tabs>
        <w:ind w:left="420" w:hanging="420" w:hangingChars="200"/>
        <w:rPr>
          <w:rFonts w:ascii="Times New Roman" w:hAnsi="Times New Roman" w:eastAsia="宋体" w:cs="Times New Roman"/>
          <w:color w:val="FF0000"/>
        </w:rPr>
      </w:pPr>
      <w:r>
        <w:rPr>
          <w:rFonts w:ascii="Times New Roman" w:hAnsi="Times New Roman" w:eastAsia="宋体" w:cs="Times New Roman"/>
          <w:color w:val="FF0000"/>
        </w:rPr>
        <w:t>要点须知：</w:t>
      </w:r>
    </w:p>
    <w:p w14:paraId="11489D80">
      <w:pPr>
        <w:widowControl/>
        <w:tabs>
          <w:tab w:val="left" w:pos="420"/>
        </w:tabs>
        <w:ind w:left="-420" w:leftChars="-200"/>
        <w:rPr>
          <w:rFonts w:ascii="Times New Roman" w:hAnsi="Times New Roman" w:eastAsia="宋体" w:cs="Times New Roman"/>
          <w:color w:val="0000FF"/>
          <w:sz w:val="24"/>
        </w:rPr>
      </w:pPr>
      <w:r>
        <w:rPr>
          <w:rFonts w:ascii="Times New Roman" w:hAnsi="Times New Roman" w:eastAsia="宋体" w:cs="Times New Roman"/>
          <w:color w:val="FF0000"/>
        </w:rPr>
        <w:t>1.这是临床案例最重要的部分，需要进行实质性的讨论，建议引经据典；</w:t>
      </w:r>
    </w:p>
    <w:p w14:paraId="29CEE5CF">
      <w:pPr>
        <w:widowControl/>
        <w:tabs>
          <w:tab w:val="left" w:pos="420"/>
        </w:tabs>
        <w:ind w:left="-420" w:leftChars="-200"/>
        <w:rPr>
          <w:rFonts w:ascii="Times New Roman" w:hAnsi="Times New Roman" w:eastAsia="宋体" w:cs="Times New Roman"/>
          <w:color w:val="0000FF"/>
          <w:sz w:val="24"/>
        </w:rPr>
      </w:pPr>
      <w:r>
        <w:rPr>
          <w:rFonts w:hint="eastAsia" w:ascii="Times New Roman" w:hAnsi="Times New Roman" w:eastAsia="宋体" w:cs="Times New Roman"/>
          <w:color w:val="FF0000"/>
        </w:rPr>
        <w:t>2</w:t>
      </w:r>
      <w:r>
        <w:rPr>
          <w:rFonts w:ascii="Times New Roman" w:hAnsi="Times New Roman" w:eastAsia="宋体" w:cs="Times New Roman"/>
          <w:color w:val="FF0000"/>
        </w:rPr>
        <w:t>.本部分第①项字数400字以内。</w:t>
      </w:r>
      <w:r>
        <w:rPr>
          <w:rFonts w:ascii="Times New Roman" w:hAnsi="Times New Roman" w:eastAsia="宋体" w:cs="Times New Roman"/>
          <w:color w:val="FF0000"/>
        </w:rPr>
        <w:br w:type="textWrapping"/>
      </w:r>
      <w:r>
        <w:rPr>
          <w:rFonts w:ascii="Times New Roman" w:hAnsi="Times New Roman" w:eastAsia="宋体" w:cs="Times New Roman"/>
          <w:color w:val="FF0000"/>
        </w:rPr>
        <w:br w:type="textWrapping"/>
      </w:r>
      <w:r>
        <w:rPr>
          <w:rFonts w:ascii="Times New Roman" w:hAnsi="Times New Roman" w:eastAsia="宋体" w:cs="Times New Roman"/>
          <w:b/>
          <w:sz w:val="24"/>
        </w:rPr>
        <w:t xml:space="preserve">利益冲突声明 </w:t>
      </w:r>
      <w:r>
        <w:rPr>
          <w:rFonts w:ascii="Times New Roman" w:hAnsi="Times New Roman" w:eastAsia="宋体" w:cs="Times New Roman"/>
          <w:color w:val="000000" w:themeColor="text1"/>
          <w:szCs w:val="21"/>
          <w14:textFill>
            <w14:solidFill>
              <w14:schemeClr w14:val="tx1"/>
            </w14:solidFill>
          </w14:textFill>
        </w:rPr>
        <w:t>作者需要注明本文章中的所有作者是否存在利益冲突，特别建议作者提前进行知识产权保护，（如果没有可以写：所有作者均声明本文章不存在利益冲突。）</w:t>
      </w:r>
      <w:r>
        <w:rPr>
          <w:rFonts w:ascii="Times New Roman" w:hAnsi="Times New Roman" w:eastAsia="宋体" w:cs="Times New Roman"/>
          <w:color w:val="000000" w:themeColor="text1"/>
          <w:szCs w:val="21"/>
          <w14:textFill>
            <w14:solidFill>
              <w14:schemeClr w14:val="tx1"/>
            </w14:solidFill>
          </w14:textFill>
        </w:rPr>
        <w:br w:type="textWrapping"/>
      </w:r>
      <w:r>
        <w:rPr>
          <w:rFonts w:ascii="Times New Roman" w:hAnsi="Times New Roman" w:eastAsia="宋体" w:cs="Times New Roman"/>
          <w:color w:val="0000FF"/>
          <w:sz w:val="24"/>
        </w:rPr>
        <w:t>示例：所有作者均声明本文章不存在利益冲突。</w:t>
      </w:r>
    </w:p>
    <w:p w14:paraId="0152F36B">
      <w:pPr>
        <w:widowControl/>
        <w:tabs>
          <w:tab w:val="left" w:pos="420"/>
        </w:tabs>
        <w:ind w:left="480" w:hanging="480" w:hangingChars="200"/>
        <w:rPr>
          <w:rFonts w:ascii="Times New Roman" w:hAnsi="Times New Roman" w:eastAsia="宋体" w:cs="Times New Roman"/>
          <w:b/>
          <w:kern w:val="0"/>
          <w:sz w:val="24"/>
        </w:rPr>
      </w:pPr>
      <w:r>
        <w:rPr>
          <w:rFonts w:ascii="Times New Roman" w:hAnsi="Times New Roman" w:eastAsia="宋体" w:cs="Times New Roman"/>
          <w:color w:val="0000FF"/>
          <w:sz w:val="24"/>
        </w:rPr>
        <w:br w:type="textWrapping"/>
      </w:r>
      <w:r>
        <w:rPr>
          <w:rFonts w:ascii="Times New Roman" w:hAnsi="Times New Roman" w:eastAsia="宋体" w:cs="Times New Roman"/>
          <w:b/>
          <w:kern w:val="0"/>
          <w:sz w:val="24"/>
        </w:rPr>
        <w:t>参考文献</w:t>
      </w:r>
    </w:p>
    <w:p w14:paraId="665112B5">
      <w:pPr>
        <w:widowControl/>
        <w:tabs>
          <w:tab w:val="left" w:pos="420"/>
        </w:tabs>
        <w:ind w:left="480" w:hanging="480" w:hangingChars="200"/>
        <w:rPr>
          <w:rFonts w:ascii="Times New Roman" w:hAnsi="Times New Roman" w:eastAsia="宋体" w:cs="Times New Roman"/>
          <w:color w:val="000000" w:themeColor="text1"/>
          <w:kern w:val="0"/>
          <w:sz w:val="24"/>
          <w14:textFill>
            <w14:solidFill>
              <w14:schemeClr w14:val="tx1"/>
            </w14:solidFill>
          </w14:textFill>
        </w:rPr>
      </w:pPr>
      <w:r>
        <w:rPr>
          <w:rFonts w:ascii="Times New Roman" w:hAnsi="Times New Roman" w:eastAsia="宋体" w:cs="Times New Roman"/>
          <w:color w:val="000000" w:themeColor="text1"/>
          <w:kern w:val="0"/>
          <w:sz w:val="24"/>
          <w14:textFill>
            <w14:solidFill>
              <w14:schemeClr w14:val="tx1"/>
            </w14:solidFill>
          </w14:textFill>
        </w:rPr>
        <w:t>按照杂志期刊类参考文献描述。</w:t>
      </w:r>
      <w:r>
        <w:rPr>
          <w:rFonts w:ascii="Times New Roman" w:hAnsi="Times New Roman" w:eastAsia="宋体" w:cs="Times New Roman"/>
          <w:color w:val="000000" w:themeColor="text1"/>
          <w:kern w:val="0"/>
          <w:sz w:val="24"/>
          <w14:textFill>
            <w14:solidFill>
              <w14:schemeClr w14:val="tx1"/>
            </w14:solidFill>
          </w14:textFill>
        </w:rPr>
        <w:br w:type="textWrapping"/>
      </w:r>
      <w:r>
        <w:rPr>
          <w:rFonts w:ascii="Times New Roman" w:hAnsi="Times New Roman" w:eastAsia="宋体" w:cs="Times New Roman"/>
          <w:color w:val="FF0000"/>
        </w:rPr>
        <w:t>要点须知：</w:t>
      </w:r>
    </w:p>
    <w:p w14:paraId="4F47847E">
      <w:pPr>
        <w:ind w:firstLine="420" w:firstLineChars="200"/>
        <w:rPr>
          <w:rFonts w:ascii="Times New Roman" w:hAnsi="Times New Roman" w:eastAsia="宋体" w:cs="Times New Roman"/>
          <w:color w:val="FF0000"/>
          <w:kern w:val="0"/>
          <w:szCs w:val="21"/>
        </w:rPr>
      </w:pPr>
      <w:r>
        <w:rPr>
          <w:rFonts w:ascii="Times New Roman" w:hAnsi="Times New Roman" w:eastAsia="宋体" w:cs="Times New Roman"/>
          <w:color w:val="FF0000"/>
          <w:kern w:val="0"/>
          <w:szCs w:val="21"/>
        </w:rPr>
        <w:t>参考文献按GB/T7714－2015《信息与文献 参考文献著录规则》采用顺序编码制著录。必须以作者亲自阅读过的近期文献为限。在文中引用处右上角用方括号注明，并依照其在文中出现的先后顺序用阿拉伯数字加方括号排列于文末，参考文献请与原文核对准确。</w:t>
      </w:r>
    </w:p>
    <w:p w14:paraId="05B2B9CE">
      <w:pPr>
        <w:ind w:firstLine="400" w:firstLineChars="200"/>
        <w:rPr>
          <w:rFonts w:ascii="Times New Roman" w:hAnsi="Times New Roman" w:eastAsia="宋体" w:cs="Times New Roman"/>
          <w:color w:val="FF0000"/>
          <w:kern w:val="0"/>
          <w:sz w:val="20"/>
        </w:rPr>
      </w:pPr>
    </w:p>
    <w:p w14:paraId="6C33FF32">
      <w:pPr>
        <w:widowControl/>
        <w:tabs>
          <w:tab w:val="left" w:pos="420"/>
        </w:tabs>
        <w:ind w:left="562" w:hanging="562" w:hangingChars="200"/>
        <w:rPr>
          <w:rFonts w:ascii="Times New Roman" w:hAnsi="Times New Roman" w:eastAsia="宋体" w:cs="Times New Roman"/>
          <w:color w:val="FF0000"/>
        </w:rPr>
      </w:pPr>
      <w:r>
        <w:rPr>
          <w:rFonts w:ascii="Times New Roman" w:hAnsi="Times New Roman" w:eastAsia="宋体" w:cs="Times New Roman"/>
          <w:b/>
          <w:kern w:val="0"/>
          <w:sz w:val="28"/>
          <w:szCs w:val="28"/>
          <w:highlight w:val="yellow"/>
        </w:rPr>
        <w:t>医院病历系统导出的证明材料</w:t>
      </w:r>
      <w:r>
        <w:rPr>
          <w:rFonts w:ascii="Times New Roman" w:hAnsi="Times New Roman" w:eastAsia="宋体" w:cs="Times New Roman"/>
          <w:color w:val="FF0000"/>
        </w:rPr>
        <w:br w:type="textWrapping"/>
      </w:r>
      <w:r>
        <w:rPr>
          <w:rFonts w:ascii="Times New Roman" w:hAnsi="Times New Roman" w:eastAsia="宋体" w:cs="Times New Roman"/>
          <w:color w:val="FF0000"/>
        </w:rPr>
        <w:t>要点须知：投稿时上传系统即可，注意保护患者隐私。</w:t>
      </w:r>
    </w:p>
    <w:p w14:paraId="14EC89C2">
      <w:pPr>
        <w:widowControl/>
        <w:tabs>
          <w:tab w:val="left" w:pos="420"/>
        </w:tabs>
        <w:ind w:left="420" w:hanging="420" w:hangingChars="200"/>
        <w:rPr>
          <w:rFonts w:ascii="Times New Roman" w:hAnsi="Times New Roman" w:eastAsia="宋体" w:cs="Times New Roman"/>
          <w:color w:val="FF0000"/>
        </w:rPr>
      </w:pPr>
    </w:p>
    <w:p w14:paraId="66CEED3E">
      <w:pPr>
        <w:widowControl/>
        <w:tabs>
          <w:tab w:val="left" w:pos="420"/>
        </w:tabs>
        <w:ind w:left="562" w:hanging="562" w:hangingChars="200"/>
        <w:rPr>
          <w:rFonts w:ascii="Times New Roman" w:hAnsi="Times New Roman" w:eastAsia="宋体" w:cs="Times New Roman"/>
          <w:b/>
          <w:kern w:val="0"/>
          <w:sz w:val="24"/>
        </w:rPr>
      </w:pPr>
      <w:r>
        <w:rPr>
          <w:rFonts w:ascii="Times New Roman" w:hAnsi="Times New Roman" w:eastAsia="宋体" w:cs="Times New Roman"/>
          <w:b/>
          <w:kern w:val="0"/>
          <w:sz w:val="28"/>
          <w:szCs w:val="28"/>
          <w:highlight w:val="yellow"/>
        </w:rPr>
        <w:t>其他选填项</w:t>
      </w:r>
      <w:r>
        <w:rPr>
          <w:rFonts w:ascii="Times New Roman" w:hAnsi="Times New Roman" w:eastAsia="宋体" w:cs="Times New Roman"/>
          <w:b/>
          <w:kern w:val="0"/>
          <w:sz w:val="24"/>
          <w:highlight w:val="yellow"/>
        </w:rPr>
        <w:br w:type="textWrapping"/>
      </w:r>
      <w:r>
        <w:rPr>
          <w:rFonts w:ascii="Times New Roman" w:hAnsi="Times New Roman" w:eastAsia="宋体" w:cs="Times New Roman"/>
          <w:b/>
          <w:kern w:val="0"/>
          <w:sz w:val="24"/>
        </w:rPr>
        <w:t>不良反应</w:t>
      </w:r>
    </w:p>
    <w:p w14:paraId="2B70430F">
      <w:pPr>
        <w:widowControl/>
        <w:tabs>
          <w:tab w:val="left" w:pos="420"/>
        </w:tabs>
        <w:ind w:left="480" w:hanging="480" w:hangingChars="200"/>
        <w:rPr>
          <w:rFonts w:ascii="Times New Roman" w:hAnsi="Times New Roman" w:eastAsia="宋体" w:cs="Times New Roman"/>
          <w:bCs/>
          <w:kern w:val="0"/>
          <w:sz w:val="24"/>
        </w:rPr>
      </w:pPr>
      <w:r>
        <w:rPr>
          <w:rFonts w:ascii="Times New Roman" w:hAnsi="Times New Roman" w:eastAsia="宋体" w:cs="Times New Roman"/>
          <w:bCs/>
          <w:kern w:val="0"/>
          <w:sz w:val="24"/>
        </w:rPr>
        <w:t>治疗方案实施过程中患者如有不良反应等情况，可在此记录。</w:t>
      </w:r>
      <w:r>
        <w:rPr>
          <w:rFonts w:ascii="Times New Roman" w:hAnsi="Times New Roman" w:eastAsia="宋体" w:cs="Times New Roman"/>
          <w:bCs/>
          <w:kern w:val="0"/>
          <w:sz w:val="24"/>
        </w:rPr>
        <w:br w:type="textWrapping"/>
      </w:r>
      <w:r>
        <w:rPr>
          <w:rFonts w:ascii="Times New Roman" w:hAnsi="Times New Roman" w:eastAsia="宋体" w:cs="Times New Roman"/>
          <w:color w:val="FF0000"/>
        </w:rPr>
        <w:t>要点须知：</w:t>
      </w:r>
    </w:p>
    <w:p w14:paraId="0CC960A2">
      <w:pPr>
        <w:widowControl/>
        <w:tabs>
          <w:tab w:val="left" w:pos="420"/>
        </w:tabs>
        <w:ind w:firstLine="420" w:firstLineChars="200"/>
        <w:rPr>
          <w:rFonts w:ascii="Times New Roman" w:hAnsi="Times New Roman" w:eastAsia="宋体" w:cs="Times New Roman"/>
          <w:bCs/>
          <w:kern w:val="0"/>
          <w:sz w:val="24"/>
        </w:rPr>
      </w:pPr>
      <w:r>
        <w:rPr>
          <w:rFonts w:ascii="Times New Roman" w:hAnsi="Times New Roman" w:eastAsia="宋体" w:cs="Times New Roman"/>
          <w:color w:val="FF0000"/>
        </w:rPr>
        <w:t>不良反应是指按正常用法、用量应用药物预防、诊断或治疗疾病过程中，发生与治疗目的无关的有害反应。其特定的发生条件是按正常剂量与正常用法用药，在内容上排除了因药物滥用、超量误用、不按规定方法使用药品及质量问题等情况所引起的反应。</w:t>
      </w:r>
      <w:r>
        <w:rPr>
          <w:rFonts w:ascii="Times New Roman" w:hAnsi="Times New Roman" w:eastAsia="宋体" w:cs="Times New Roman"/>
          <w:color w:val="FF0000"/>
        </w:rPr>
        <w:br w:type="textWrapping"/>
      </w:r>
      <w:r>
        <w:rPr>
          <w:rFonts w:ascii="Times New Roman" w:hAnsi="Times New Roman" w:eastAsia="宋体" w:cs="Times New Roman"/>
          <w:color w:val="FF0000"/>
        </w:rPr>
        <w:br w:type="textWrapping"/>
      </w:r>
      <w:r>
        <w:rPr>
          <w:rFonts w:ascii="Times New Roman" w:hAnsi="Times New Roman" w:eastAsia="宋体" w:cs="Times New Roman"/>
          <w:b/>
          <w:kern w:val="0"/>
          <w:sz w:val="24"/>
        </w:rPr>
        <w:t>不良事件</w:t>
      </w:r>
      <w:r>
        <w:rPr>
          <w:rFonts w:ascii="Times New Roman" w:hAnsi="Times New Roman" w:eastAsia="宋体" w:cs="Times New Roman"/>
          <w:b/>
          <w:kern w:val="0"/>
          <w:sz w:val="24"/>
        </w:rPr>
        <w:br w:type="textWrapping"/>
      </w:r>
      <w:r>
        <w:rPr>
          <w:rFonts w:ascii="Times New Roman" w:hAnsi="Times New Roman" w:eastAsia="宋体" w:cs="Times New Roman"/>
          <w:bCs/>
          <w:kern w:val="0"/>
          <w:sz w:val="24"/>
        </w:rPr>
        <w:t>治疗方案实施过程中，如有不良事件，可在此记录。</w:t>
      </w:r>
    </w:p>
    <w:p w14:paraId="248CD396">
      <w:pPr>
        <w:widowControl/>
        <w:tabs>
          <w:tab w:val="left" w:pos="420"/>
        </w:tabs>
        <w:ind w:left="840" w:leftChars="200" w:hanging="420" w:hangingChars="200"/>
        <w:rPr>
          <w:rFonts w:ascii="Times New Roman" w:hAnsi="Times New Roman" w:eastAsia="宋体" w:cs="Times New Roman"/>
          <w:color w:val="FF0000"/>
        </w:rPr>
      </w:pPr>
      <w:r>
        <w:rPr>
          <w:rFonts w:ascii="Times New Roman" w:hAnsi="Times New Roman" w:eastAsia="宋体" w:cs="Times New Roman"/>
          <w:color w:val="FF0000"/>
        </w:rPr>
        <w:t>要点须知：</w:t>
      </w:r>
    </w:p>
    <w:p w14:paraId="499DE5D4">
      <w:pPr>
        <w:widowControl/>
        <w:tabs>
          <w:tab w:val="left" w:pos="420"/>
        </w:tabs>
        <w:ind w:firstLine="420" w:firstLineChars="200"/>
        <w:rPr>
          <w:rFonts w:ascii="Times New Roman" w:hAnsi="Times New Roman" w:eastAsia="宋体" w:cs="Times New Roman"/>
          <w:color w:val="FF0000"/>
        </w:rPr>
      </w:pPr>
      <w:r>
        <w:rPr>
          <w:rFonts w:ascii="Times New Roman" w:hAnsi="Times New Roman" w:eastAsia="宋体" w:cs="Times New Roman"/>
          <w:color w:val="FF0000"/>
        </w:rPr>
        <w:t>医疗质量安全不良事件指在医疗机构被工作人员主动发现的，或患者在接受诊疗服务过程中出现的，除患者自身疾病自然过程外的各种因素所致的不安全隐患、状态或造成后果的负性事件。</w:t>
      </w:r>
    </w:p>
    <w:p w14:paraId="4986C2AB">
      <w:pPr>
        <w:widowControl/>
        <w:tabs>
          <w:tab w:val="left" w:pos="420"/>
        </w:tabs>
        <w:rPr>
          <w:rFonts w:ascii="Times New Roman" w:hAnsi="Times New Roman" w:eastAsia="宋体" w:cs="Times New Roman"/>
          <w:b/>
          <w:kern w:val="0"/>
          <w:sz w:val="24"/>
        </w:rPr>
      </w:pPr>
    </w:p>
    <w:p w14:paraId="51E6ECFE">
      <w:pPr>
        <w:widowControl/>
        <w:tabs>
          <w:tab w:val="left" w:pos="420"/>
        </w:tabs>
        <w:ind w:left="482" w:hanging="482" w:hangingChars="200"/>
        <w:rPr>
          <w:rFonts w:ascii="Times New Roman" w:hAnsi="Times New Roman" w:eastAsia="宋体" w:cs="Times New Roman"/>
          <w:b/>
          <w:kern w:val="0"/>
          <w:sz w:val="24"/>
        </w:rPr>
      </w:pPr>
      <w:r>
        <w:rPr>
          <w:rFonts w:ascii="Times New Roman" w:hAnsi="Times New Roman" w:eastAsia="宋体" w:cs="Times New Roman"/>
          <w:b/>
          <w:kern w:val="0"/>
          <w:sz w:val="24"/>
        </w:rPr>
        <w:t>同行评议（可选填）</w:t>
      </w:r>
    </w:p>
    <w:p w14:paraId="231EA212">
      <w:pPr>
        <w:widowControl/>
        <w:tabs>
          <w:tab w:val="left" w:pos="420"/>
        </w:tabs>
        <w:ind w:firstLine="480" w:firstLineChars="200"/>
        <w:rPr>
          <w:rFonts w:ascii="Times New Roman" w:hAnsi="Times New Roman" w:eastAsia="宋体" w:cs="Times New Roman"/>
          <w:bCs/>
          <w:kern w:val="0"/>
          <w:sz w:val="24"/>
        </w:rPr>
      </w:pPr>
      <w:r>
        <w:rPr>
          <w:rFonts w:ascii="Times New Roman" w:hAnsi="Times New Roman" w:eastAsia="宋体" w:cs="Times New Roman"/>
          <w:bCs/>
          <w:kern w:val="0"/>
          <w:sz w:val="24"/>
        </w:rPr>
        <w:t>由作者或推荐单位联系专家，从选题意义、内容与结构等方面进行点评，结合作者临床体会，明确案例的临床价值与意义。</w:t>
      </w:r>
    </w:p>
    <w:p w14:paraId="693C3F30">
      <w:pPr>
        <w:widowControl/>
        <w:tabs>
          <w:tab w:val="left" w:pos="420"/>
        </w:tabs>
        <w:ind w:firstLine="480" w:firstLineChars="200"/>
        <w:rPr>
          <w:rFonts w:ascii="Times New Roman" w:hAnsi="Times New Roman" w:eastAsia="宋体" w:cs="Times New Roman"/>
          <w:bCs/>
          <w:kern w:val="0"/>
          <w:sz w:val="24"/>
        </w:rPr>
      </w:pPr>
      <w:r>
        <w:rPr>
          <w:rFonts w:ascii="Times New Roman" w:hAnsi="Times New Roman" w:eastAsia="宋体" w:cs="Times New Roman"/>
          <w:color w:val="0000FF"/>
          <w:sz w:val="24"/>
        </w:rPr>
        <w:t>示例：</w:t>
      </w:r>
    </w:p>
    <w:p w14:paraId="47510C8C">
      <w:pPr>
        <w:widowControl/>
        <w:tabs>
          <w:tab w:val="left" w:pos="420"/>
        </w:tabs>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点评专家：王五，中国医学科学院北京协和医院手术室</w:t>
      </w:r>
    </w:p>
    <w:p w14:paraId="0B5B3738">
      <w:pPr>
        <w:widowControl/>
        <w:tabs>
          <w:tab w:val="left" w:pos="420"/>
        </w:tabs>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点评内容：</w:t>
      </w:r>
    </w:p>
    <w:p w14:paraId="45622973">
      <w:pPr>
        <w:widowControl/>
        <w:tabs>
          <w:tab w:val="left" w:pos="420"/>
        </w:tabs>
        <w:ind w:firstLine="480" w:firstLineChars="200"/>
        <w:rPr>
          <w:rFonts w:ascii="Times New Roman" w:hAnsi="Times New Roman" w:eastAsia="宋体" w:cs="Times New Roman"/>
          <w:color w:val="0000FF"/>
          <w:sz w:val="24"/>
        </w:rPr>
      </w:pPr>
    </w:p>
    <w:p w14:paraId="61DCECE7">
      <w:pPr>
        <w:widowControl/>
        <w:tabs>
          <w:tab w:val="left" w:pos="420"/>
        </w:tabs>
        <w:ind w:left="482" w:hanging="482" w:hangingChars="200"/>
        <w:rPr>
          <w:rFonts w:ascii="Times New Roman" w:hAnsi="Times New Roman" w:eastAsia="宋体" w:cs="Times New Roman"/>
          <w:bCs/>
          <w:kern w:val="0"/>
          <w:sz w:val="24"/>
        </w:rPr>
      </w:pPr>
      <w:r>
        <w:rPr>
          <w:rFonts w:ascii="Times New Roman" w:hAnsi="Times New Roman" w:eastAsia="宋体" w:cs="Times New Roman"/>
          <w:b/>
          <w:kern w:val="0"/>
          <w:sz w:val="24"/>
        </w:rPr>
        <w:t>应用评价（可选填）</w:t>
      </w:r>
      <w:r>
        <w:rPr>
          <w:rFonts w:ascii="Times New Roman" w:hAnsi="Times New Roman" w:eastAsia="宋体" w:cs="Times New Roman"/>
          <w:b/>
          <w:kern w:val="0"/>
          <w:sz w:val="24"/>
        </w:rPr>
        <w:br w:type="textWrapping"/>
      </w:r>
      <w:r>
        <w:rPr>
          <w:rFonts w:ascii="Times New Roman" w:hAnsi="Times New Roman" w:eastAsia="宋体" w:cs="Times New Roman"/>
          <w:bCs/>
          <w:kern w:val="0"/>
          <w:sz w:val="24"/>
        </w:rPr>
        <w:t>由学习此篇案例治法治则并应用到实际的临床医师填写。</w:t>
      </w:r>
    </w:p>
    <w:p w14:paraId="737948BC">
      <w:pPr>
        <w:widowControl/>
        <w:tabs>
          <w:tab w:val="left" w:pos="420"/>
        </w:tabs>
        <w:ind w:firstLine="480" w:firstLineChars="200"/>
        <w:rPr>
          <w:rFonts w:ascii="Times New Roman" w:hAnsi="Times New Roman" w:eastAsia="宋体" w:cs="Times New Roman"/>
          <w:bCs/>
          <w:kern w:val="0"/>
          <w:sz w:val="24"/>
        </w:rPr>
      </w:pPr>
      <w:r>
        <w:rPr>
          <w:rFonts w:ascii="Times New Roman" w:hAnsi="Times New Roman" w:eastAsia="宋体" w:cs="Times New Roman"/>
          <w:color w:val="0000FF"/>
          <w:sz w:val="24"/>
        </w:rPr>
        <w:t>示例：</w:t>
      </w:r>
    </w:p>
    <w:p w14:paraId="0EE846F1">
      <w:pPr>
        <w:widowControl/>
        <w:tabs>
          <w:tab w:val="left" w:pos="420"/>
        </w:tabs>
        <w:ind w:firstLine="480" w:firstLineChars="200"/>
        <w:rPr>
          <w:rFonts w:ascii="Times New Roman" w:hAnsi="Times New Roman" w:eastAsia="宋体" w:cs="Times New Roman"/>
          <w:color w:val="0000FF"/>
          <w:sz w:val="24"/>
        </w:rPr>
      </w:pPr>
      <w:r>
        <w:rPr>
          <w:rFonts w:ascii="Times New Roman" w:hAnsi="Times New Roman" w:eastAsia="宋体" w:cs="Times New Roman"/>
          <w:color w:val="0000FF"/>
          <w:sz w:val="24"/>
        </w:rPr>
        <w:t>应用专家：张三，中国中医科学院西苑医院</w:t>
      </w:r>
    </w:p>
    <w:p w14:paraId="7FF63BBA">
      <w:pPr>
        <w:widowControl/>
        <w:tabs>
          <w:tab w:val="left" w:pos="420"/>
        </w:tabs>
        <w:ind w:firstLine="480" w:firstLineChars="200"/>
        <w:rPr>
          <w:rFonts w:ascii="Times New Roman" w:hAnsi="Times New Roman" w:eastAsia="宋体" w:cs="Times New Roman"/>
          <w:color w:val="0000FF"/>
          <w:sz w:val="24"/>
        </w:rPr>
      </w:pPr>
    </w:p>
    <w:p w14:paraId="245E46E8">
      <w:pPr>
        <w:widowControl/>
        <w:tabs>
          <w:tab w:val="left" w:pos="420"/>
        </w:tabs>
        <w:ind w:firstLine="480" w:firstLineChars="200"/>
        <w:rPr>
          <w:rFonts w:ascii="Times New Roman" w:hAnsi="Times New Roman" w:eastAsia="宋体" w:cs="Times New Roman"/>
          <w:color w:val="0000FF"/>
          <w:sz w:val="24"/>
        </w:rPr>
      </w:pPr>
    </w:p>
    <w:p w14:paraId="4FD30154">
      <w:pPr>
        <w:widowControl/>
        <w:tabs>
          <w:tab w:val="left" w:pos="420"/>
        </w:tabs>
        <w:ind w:firstLine="480" w:firstLineChars="200"/>
        <w:rPr>
          <w:rFonts w:ascii="Times New Roman" w:hAnsi="Times New Roman" w:eastAsia="宋体" w:cs="Times New Roman"/>
          <w:color w:val="0000FF"/>
          <w:sz w:val="24"/>
        </w:rPr>
      </w:pPr>
    </w:p>
    <w:p w14:paraId="6CE6E58E">
      <w:pPr>
        <w:widowControl/>
        <w:tabs>
          <w:tab w:val="left" w:pos="420"/>
        </w:tabs>
        <w:rPr>
          <w:rFonts w:ascii="Times New Roman" w:hAnsi="Times New Roman" w:eastAsia="宋体" w:cs="Times New Roman"/>
          <w:b/>
          <w:bCs/>
          <w:color w:val="000000" w:themeColor="text1"/>
          <w:sz w:val="24"/>
          <w:highlight w:val="yellow"/>
          <w14:textFill>
            <w14:solidFill>
              <w14:schemeClr w14:val="tx1"/>
            </w14:solidFill>
          </w14:textFill>
        </w:rPr>
      </w:pPr>
      <w:r>
        <w:rPr>
          <w:rFonts w:ascii="Times New Roman" w:hAnsi="Times New Roman" w:eastAsia="宋体" w:cs="Times New Roman"/>
          <w:b/>
          <w:bCs/>
          <w:color w:val="000000" w:themeColor="text1"/>
          <w:sz w:val="24"/>
          <w:highlight w:val="yellow"/>
          <w14:textFill>
            <w14:solidFill>
              <w14:schemeClr w14:val="tx1"/>
            </w14:solidFill>
          </w14:textFill>
        </w:rPr>
        <w:t>备注：模板示例仅供参考，模板示例内容不属于同一案例。</w:t>
      </w:r>
    </w:p>
    <w:p w14:paraId="710163F5">
      <w:pPr>
        <w:widowControl/>
        <w:tabs>
          <w:tab w:val="left" w:pos="420"/>
        </w:tabs>
        <w:ind w:firstLine="480" w:firstLineChars="200"/>
        <w:rPr>
          <w:rFonts w:ascii="Times New Roman" w:hAnsi="Times New Roman" w:eastAsia="宋体" w:cs="Times New Roman"/>
          <w:color w:val="0000FF"/>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9D4FC97E-13D5-4275-9EE9-F0DA52DDA387}"/>
  </w:font>
  <w:font w:name="方正小标宋简体">
    <w:altName w:val="方正舒体"/>
    <w:panose1 w:val="00000000000000000000"/>
    <w:charset w:val="86"/>
    <w:family w:val="auto"/>
    <w:pitch w:val="default"/>
    <w:sig w:usb0="00000000" w:usb1="00000000" w:usb2="00000010" w:usb3="00000000" w:csb0="00040000" w:csb1="00000000"/>
    <w:embedRegular r:id="rId2" w:fontKey="{68D2FBDC-E0E0-41EA-BBF6-2DF19C302652}"/>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465E45"/>
    <w:multiLevelType w:val="singleLevel"/>
    <w:tmpl w:val="7E465E4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301F43"/>
    <w:rsid w:val="00134D6F"/>
    <w:rsid w:val="001829C0"/>
    <w:rsid w:val="008F5F0A"/>
    <w:rsid w:val="00A45254"/>
    <w:rsid w:val="00C43166"/>
    <w:rsid w:val="00E250D2"/>
    <w:rsid w:val="00EF063E"/>
    <w:rsid w:val="01377EE5"/>
    <w:rsid w:val="01FF74C5"/>
    <w:rsid w:val="03F8012D"/>
    <w:rsid w:val="04EE6F26"/>
    <w:rsid w:val="06F80CD5"/>
    <w:rsid w:val="08485544"/>
    <w:rsid w:val="097A07E5"/>
    <w:rsid w:val="0F1E3C65"/>
    <w:rsid w:val="100E0101"/>
    <w:rsid w:val="101271E6"/>
    <w:rsid w:val="115C2EBC"/>
    <w:rsid w:val="11AE18EC"/>
    <w:rsid w:val="18100480"/>
    <w:rsid w:val="18180E3F"/>
    <w:rsid w:val="2143575F"/>
    <w:rsid w:val="23050CAB"/>
    <w:rsid w:val="24BA7CC8"/>
    <w:rsid w:val="25C955CD"/>
    <w:rsid w:val="25F61367"/>
    <w:rsid w:val="298F69C8"/>
    <w:rsid w:val="299A3E3C"/>
    <w:rsid w:val="2B1206B6"/>
    <w:rsid w:val="2BD3051C"/>
    <w:rsid w:val="2D331317"/>
    <w:rsid w:val="2D454ECA"/>
    <w:rsid w:val="2E320250"/>
    <w:rsid w:val="2E7448FF"/>
    <w:rsid w:val="2F301F43"/>
    <w:rsid w:val="31C00626"/>
    <w:rsid w:val="32400EB5"/>
    <w:rsid w:val="34501576"/>
    <w:rsid w:val="350502A9"/>
    <w:rsid w:val="35C366DA"/>
    <w:rsid w:val="38167754"/>
    <w:rsid w:val="38A0133F"/>
    <w:rsid w:val="3C635FC9"/>
    <w:rsid w:val="3D7F75B8"/>
    <w:rsid w:val="3F575B67"/>
    <w:rsid w:val="3FF71232"/>
    <w:rsid w:val="41654AEA"/>
    <w:rsid w:val="41B6630D"/>
    <w:rsid w:val="45C647A2"/>
    <w:rsid w:val="46531FA7"/>
    <w:rsid w:val="497F0684"/>
    <w:rsid w:val="49E45F27"/>
    <w:rsid w:val="4BC01C78"/>
    <w:rsid w:val="4C336BDE"/>
    <w:rsid w:val="4D607C65"/>
    <w:rsid w:val="4F3F4F4B"/>
    <w:rsid w:val="511A7985"/>
    <w:rsid w:val="51C66C4B"/>
    <w:rsid w:val="520E2804"/>
    <w:rsid w:val="53EB5F6F"/>
    <w:rsid w:val="543C5DBE"/>
    <w:rsid w:val="55342977"/>
    <w:rsid w:val="5876633D"/>
    <w:rsid w:val="58CA52AA"/>
    <w:rsid w:val="5CE15186"/>
    <w:rsid w:val="61EA5802"/>
    <w:rsid w:val="6B561664"/>
    <w:rsid w:val="6B8665E7"/>
    <w:rsid w:val="6D6D5F36"/>
    <w:rsid w:val="6E2048C0"/>
    <w:rsid w:val="6F7C731F"/>
    <w:rsid w:val="70980188"/>
    <w:rsid w:val="7275103F"/>
    <w:rsid w:val="75840CDB"/>
    <w:rsid w:val="75FC5BCB"/>
    <w:rsid w:val="761A4A59"/>
    <w:rsid w:val="789C4E1C"/>
    <w:rsid w:val="78EC2E1F"/>
    <w:rsid w:val="79D8139B"/>
    <w:rsid w:val="7F9902D4"/>
    <w:rsid w:val="7FAD75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character" w:styleId="6">
    <w:name w:val="Hyperlink"/>
    <w:basedOn w:val="5"/>
    <w:qFormat/>
    <w:uiPriority w:val="0"/>
    <w:rPr>
      <w:color w:val="0000FF"/>
      <w:u w:val="single"/>
    </w:rPr>
  </w:style>
  <w:style w:type="character" w:customStyle="1" w:styleId="7">
    <w:name w:val="页眉 字符"/>
    <w:basedOn w:val="5"/>
    <w:link w:val="3"/>
    <w:qFormat/>
    <w:uiPriority w:val="0"/>
    <w:rPr>
      <w:kern w:val="2"/>
      <w:sz w:val="18"/>
      <w:szCs w:val="18"/>
    </w:rPr>
  </w:style>
  <w:style w:type="character" w:customStyle="1" w:styleId="8">
    <w:name w:val="页脚 字符"/>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16</Pages>
  <Words>14440</Words>
  <Characters>15766</Characters>
  <Lines>116</Lines>
  <Paragraphs>32</Paragraphs>
  <TotalTime>9</TotalTime>
  <ScaleCrop>false</ScaleCrop>
  <LinksUpToDate>false</LinksUpToDate>
  <CharactersWithSpaces>15980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2026-08-13T05:57:00Z</dcterms:created>
  <dc:creator>丛丛</dc:creator>
  <cp:lastModifiedBy>谭雯</cp:lastModifiedBy>
  <dcterms:modified xsi:type="dcterms:W3CDTF">2026-08-27T02:22:56Z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623EF5C9BCCB4FC883D7885252BD0923_13</vt:lpwstr>
  </property>
  <property fmtid="{D5CDD505-2E9C-101B-9397-08002B2CF9AE}" pid="4" name="KSOTemplateDocerSaveRecord">
    <vt:lpwstr>eyJoZGlkIjoiYjM0ZWI1NGIwNTBkNDNkMzNlMWFhMjYyYmI1YjAyMmIiLCJ1c2VySWQiOiIyNzQ3Mzc1NjgifQ==</vt:lpwstr>
  </property>
</Properties>
</file>